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FFFFFF" w:themeColor="background1"/>
        </w:rPr>
        <w:alias w:val="Subject"/>
        <w:tag w:val=""/>
        <w:id w:val="-1787726383"/>
        <w:placeholder>
          <w:docPart w:val="57267E67118F4F67BAD67CE09A1449F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484F0D9" w14:textId="3FC510D6" w:rsidR="000A4E6A" w:rsidRPr="00B05B1C" w:rsidRDefault="00B7049B" w:rsidP="00B7049B">
          <w:pPr>
            <w:pStyle w:val="Title-fixed"/>
            <w:framePr w:w="9256" w:wrap="around"/>
            <w:rPr>
              <w:color w:val="FFFFFF" w:themeColor="background1"/>
            </w:rPr>
          </w:pPr>
          <w:r w:rsidRPr="00B05B1C">
            <w:rPr>
              <w:color w:val="FFFFFF" w:themeColor="background1"/>
            </w:rPr>
            <w:t>Heritage Act Amendment Factsheet 2024</w:t>
          </w:r>
        </w:p>
      </w:sdtContent>
    </w:sdt>
    <w:p w14:paraId="1B186DB5" w14:textId="1618AE2B" w:rsidR="00CD42AE" w:rsidRPr="00B05B1C" w:rsidRDefault="003700CE" w:rsidP="00B7049B">
      <w:pPr>
        <w:pStyle w:val="Title"/>
        <w:framePr w:w="9031" w:wrap="around"/>
        <w:rPr>
          <w:color w:val="FFFFFF" w:themeColor="background1"/>
        </w:rPr>
      </w:pPr>
      <w:sdt>
        <w:sdtPr>
          <w:rPr>
            <w:color w:val="FFFFFF" w:themeColor="background1"/>
          </w:rPr>
          <w:alias w:val="Title"/>
          <w:tag w:val=""/>
          <w:id w:val="-1331358350"/>
          <w:placeholder>
            <w:docPart w:val="4C62607DAE4E4ED8BDC286EC546086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B7049B" w:rsidRPr="00B05B1C">
            <w:rPr>
              <w:color w:val="FFFFFF" w:themeColor="background1"/>
            </w:rPr>
            <w:t>Changes affecting permit applicants</w:t>
          </w:r>
        </w:sdtContent>
      </w:sdt>
    </w:p>
    <w:p w14:paraId="13356710" w14:textId="77777777" w:rsidR="0063025D" w:rsidRPr="0063025D" w:rsidRDefault="00A0606C" w:rsidP="0063025D">
      <w:r w:rsidRPr="00A0606C">
        <w:rPr>
          <w:noProof/>
        </w:rPr>
        <w:drawing>
          <wp:anchor distT="0" distB="0" distL="114300" distR="114300" simplePos="0" relativeHeight="251658241" behindDoc="1" locked="0" layoutInCell="1" allowOverlap="1" wp14:anchorId="6E485481" wp14:editId="67DEC236">
            <wp:simplePos x="0" y="0"/>
            <wp:positionH relativeFrom="column">
              <wp:posOffset>-360046</wp:posOffset>
            </wp:positionH>
            <wp:positionV relativeFrom="paragraph">
              <wp:posOffset>-1287395</wp:posOffset>
            </wp:positionV>
            <wp:extent cx="7694793" cy="1978702"/>
            <wp:effectExtent l="0" t="0" r="1905" b="2540"/>
            <wp:wrapNone/>
            <wp:docPr id="1068840337" name="Picture 106884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84033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75" cy="1990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06C">
        <w:rPr>
          <w:noProof/>
        </w:rPr>
        <w:t xml:space="preserve"> </w:t>
      </w:r>
      <w:r w:rsidR="00574BE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67CD7A71" wp14:editId="50DF1F4F">
                <wp:simplePos x="0" y="0"/>
                <wp:positionH relativeFrom="page">
                  <wp:posOffset>291465</wp:posOffset>
                </wp:positionH>
                <wp:positionV relativeFrom="page">
                  <wp:posOffset>285115</wp:posOffset>
                </wp:positionV>
                <wp:extent cx="6983730" cy="1623060"/>
                <wp:effectExtent l="0" t="0" r="762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730" cy="1623060"/>
                          <a:chOff x="0" y="0"/>
                          <a:chExt cx="6984000" cy="1624695"/>
                        </a:xfrm>
                      </wpg:grpSpPr>
                      <wps:wsp>
                        <wps:cNvPr id="5" name="Free-form: Shape 5"/>
                        <wps:cNvSpPr/>
                        <wps:spPr>
                          <a:xfrm>
                            <a:off x="0" y="0"/>
                            <a:ext cx="6984000" cy="1620000"/>
                          </a:xfrm>
                          <a:custGeom>
                            <a:avLst/>
                            <a:gdLst>
                              <a:gd name="connsiteX0" fmla="*/ 0 w 6984489"/>
                              <a:gd name="connsiteY0" fmla="*/ 0 h 1620625"/>
                              <a:gd name="connsiteX1" fmla="*/ 6984490 w 6984489"/>
                              <a:gd name="connsiteY1" fmla="*/ 0 h 1620625"/>
                              <a:gd name="connsiteX2" fmla="*/ 6984490 w 6984489"/>
                              <a:gd name="connsiteY2" fmla="*/ 1620625 h 1620625"/>
                              <a:gd name="connsiteX3" fmla="*/ 0 w 6984489"/>
                              <a:gd name="connsiteY3" fmla="*/ 1620625 h 1620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84489" h="1620625">
                                <a:moveTo>
                                  <a:pt x="0" y="0"/>
                                </a:moveTo>
                                <a:lnTo>
                                  <a:pt x="6984490" y="0"/>
                                </a:lnTo>
                                <a:lnTo>
                                  <a:pt x="6984490" y="1620625"/>
                                </a:lnTo>
                                <a:lnTo>
                                  <a:pt x="0" y="162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F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-form: Shape 13"/>
                        <wps:cNvSpPr/>
                        <wps:spPr>
                          <a:xfrm>
                            <a:off x="4880281" y="486833"/>
                            <a:ext cx="1045034" cy="1133851"/>
                          </a:xfrm>
                          <a:custGeom>
                            <a:avLst/>
                            <a:gdLst>
                              <a:gd name="connsiteX0" fmla="*/ 537254 w 1044940"/>
                              <a:gd name="connsiteY0" fmla="*/ 0 h 1138669"/>
                              <a:gd name="connsiteX1" fmla="*/ 0 w 1044940"/>
                              <a:gd name="connsiteY1" fmla="*/ 1138670 h 1138669"/>
                              <a:gd name="connsiteX2" fmla="*/ 507686 w 1044940"/>
                              <a:gd name="connsiteY2" fmla="*/ 1138670 h 1138669"/>
                              <a:gd name="connsiteX3" fmla="*/ 1044940 w 1044940"/>
                              <a:gd name="connsiteY3" fmla="*/ 0 h 1138669"/>
                              <a:gd name="connsiteX4" fmla="*/ 537254 w 1044940"/>
                              <a:gd name="connsiteY4" fmla="*/ 0 h 1138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4940" h="1138669">
                                <a:moveTo>
                                  <a:pt x="537254" y="0"/>
                                </a:moveTo>
                                <a:lnTo>
                                  <a:pt x="0" y="1138670"/>
                                </a:lnTo>
                                <a:lnTo>
                                  <a:pt x="507686" y="1138670"/>
                                </a:lnTo>
                                <a:cubicBezTo>
                                  <a:pt x="507686" y="1138670"/>
                                  <a:pt x="1044940" y="0"/>
                                  <a:pt x="1044940" y="0"/>
                                </a:cubicBezTo>
                                <a:lnTo>
                                  <a:pt x="53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A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-form: Shape 17"/>
                        <wps:cNvSpPr/>
                        <wps:spPr>
                          <a:xfrm>
                            <a:off x="5925914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455659 w 683487"/>
                              <a:gd name="connsiteY0" fmla="*/ 481981 h 481981"/>
                              <a:gd name="connsiteX1" fmla="*/ 683488 w 683487"/>
                              <a:gd name="connsiteY1" fmla="*/ 0 h 481981"/>
                              <a:gd name="connsiteX2" fmla="*/ 227830 w 683487"/>
                              <a:gd name="connsiteY2" fmla="*/ 0 h 481981"/>
                              <a:gd name="connsiteX3" fmla="*/ 0 w 683487"/>
                              <a:gd name="connsiteY3" fmla="*/ 481981 h 481981"/>
                              <a:gd name="connsiteX4" fmla="*/ 455659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455659" y="481981"/>
                                </a:moveTo>
                                <a:lnTo>
                                  <a:pt x="683488" y="0"/>
                                </a:lnTo>
                                <a:lnTo>
                                  <a:pt x="227830" y="0"/>
                                </a:lnTo>
                                <a:cubicBezTo>
                                  <a:pt x="227830" y="0"/>
                                  <a:pt x="0" y="481981"/>
                                  <a:pt x="0" y="481981"/>
                                </a:cubicBezTo>
                                <a:lnTo>
                                  <a:pt x="455659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00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-form: Shape 23"/>
                        <wps:cNvSpPr/>
                        <wps:spPr>
                          <a:xfrm>
                            <a:off x="5697314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683488 w 683487"/>
                              <a:gd name="connsiteY0" fmla="*/ 481981 h 481981"/>
                              <a:gd name="connsiteX1" fmla="*/ 455659 w 683487"/>
                              <a:gd name="connsiteY1" fmla="*/ 0 h 481981"/>
                              <a:gd name="connsiteX2" fmla="*/ 0 w 683487"/>
                              <a:gd name="connsiteY2" fmla="*/ 0 h 481981"/>
                              <a:gd name="connsiteX3" fmla="*/ 227829 w 683487"/>
                              <a:gd name="connsiteY3" fmla="*/ 481981 h 481981"/>
                              <a:gd name="connsiteX4" fmla="*/ 683488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683488" y="481981"/>
                                </a:moveTo>
                                <a:lnTo>
                                  <a:pt x="455659" y="0"/>
                                </a:ln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227829" y="481981"/>
                                  <a:pt x="227829" y="481981"/>
                                </a:cubicBezTo>
                                <a:lnTo>
                                  <a:pt x="683488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-form: Shape 25"/>
                        <wps:cNvSpPr/>
                        <wps:spPr>
                          <a:xfrm>
                            <a:off x="5413681" y="486833"/>
                            <a:ext cx="1042910" cy="1137862"/>
                          </a:xfrm>
                          <a:custGeom>
                            <a:avLst/>
                            <a:gdLst>
                              <a:gd name="connsiteX0" fmla="*/ 0 w 1042817"/>
                              <a:gd name="connsiteY0" fmla="*/ 0 h 1138695"/>
                              <a:gd name="connsiteX1" fmla="*/ 535132 w 1042817"/>
                              <a:gd name="connsiteY1" fmla="*/ 1138695 h 1138695"/>
                              <a:gd name="connsiteX2" fmla="*/ 1042817 w 1042817"/>
                              <a:gd name="connsiteY2" fmla="*/ 1138695 h 1138695"/>
                              <a:gd name="connsiteX3" fmla="*/ 507686 w 1042817"/>
                              <a:gd name="connsiteY3" fmla="*/ 0 h 1138695"/>
                              <a:gd name="connsiteX4" fmla="*/ 0 w 1042817"/>
                              <a:gd name="connsiteY4" fmla="*/ 0 h 113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2817" h="1138695">
                                <a:moveTo>
                                  <a:pt x="0" y="0"/>
                                </a:moveTo>
                                <a:lnTo>
                                  <a:pt x="535132" y="1138695"/>
                                </a:lnTo>
                                <a:lnTo>
                                  <a:pt x="1042817" y="1138695"/>
                                </a:lnTo>
                                <a:cubicBezTo>
                                  <a:pt x="1042817" y="1138695"/>
                                  <a:pt x="507686" y="0"/>
                                  <a:pt x="50768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49149989" id="Group 3" o:spid="_x0000_s1026" alt="&quot;&quot;" style="position:absolute;margin-left:22.95pt;margin-top:22.45pt;width:549.9pt;height:127.8pt;z-index:-251657216;mso-position-horizontal-relative:page;mso-position-vertical-relative:page;mso-width-relative:margin;mso-height-relative:margin" coordsize="69840,1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">
                <v:shape id="Free-form: Shape 5" o:spid="_x0000_s1027" style="position:absolute;width:6984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" path="m,l6984490,r,1620625l,1620625,,xe" fillcolor="#e1eef9" stroked="f" strokeweight=".07103mm">
                  <v:stroke joinstyle="miter"/>
                  <v:path arrowok="t" o:connecttype="custom" o:connectlocs="0,0;6984001,0;6984001,1620000;0,1620000" o:connectangles="0,0,0,0"/>
                </v:shape>
                <v:shape id="Free-form: Shape 13" o:spid="_x0000_s1028" style="position:absolute;left:48802;top:4868;width:10451;height:11338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" path="m537254,l,1138670r507686,c507686,1138670,1044940,,1044940,l537254,xe" fillcolor="#00b2a9" stroked="f" strokeweight=".07103mm">
                  <v:stroke joinstyle="miter"/>
                  <v:path arrowok="t" o:connecttype="custom" o:connectlocs="537302,0;0,1133852;507732,1133852;1045034,0;537302,0" o:connectangles="0,0,0,0,0"/>
                </v:shape>
                <v:shape id="Free-form: Shape 17" o:spid="_x0000_s1029" style="position:absolute;left:59259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" path="m455659,481981l683488,,227830,c227830,,,481981,,481981r455659,xe" fillcolor="#cedc00" stroked="f" strokeweight=".07103mm">
                  <v:stroke joinstyle="miter"/>
                  <v:path arrowok="t" o:connecttype="custom" o:connectlocs="455700,481629;683550,0;227851,0;0,481629;455700,481629" o:connectangles="0,0,0,0,0"/>
                </v:shape>
                <v:shape id="Free-form: Shape 23" o:spid="_x0000_s1030" style="position:absolute;left:56973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" path="m683488,481981l455659,,,c,,227829,481981,227829,481981r455659,xe" stroked="f" strokeweight=".07103mm">
                  <v:fill opacity="39321f"/>
                  <v:stroke joinstyle="miter"/>
                  <v:path arrowok="t" o:connecttype="custom" o:connectlocs="683550,481629;455700,0;0,0;227850,481629;683550,481629" o:connectangles="0,0,0,0,0"/>
                </v:shape>
                <v:shape id="Free-form: Shape 25" o:spid="_x0000_s1031" style="position:absolute;left:54136;top:4868;width:10429;height:11378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" path="m,l535132,1138695r507685,c1042817,1138695,507686,,507686,l,xe" stroked="f" strokeweight=".07103mm">
                  <v:fill opacity="39321f"/>
                  <v:stroke joinstyle="miter"/>
                  <v:path arrowok="t" o:connecttype="custom" o:connectlocs="0,0;535180,1137862;1042910,1137862;507731,0;0,0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02BF8E08" w14:textId="64F384E9" w:rsidR="00287256" w:rsidRDefault="00794FD0" w:rsidP="00F1252A">
      <w:pPr>
        <w:pStyle w:val="Introduction"/>
      </w:pPr>
      <w:r w:rsidRPr="009A3BF8">
        <w:rPr>
          <w:i/>
          <w:iCs/>
        </w:rPr>
        <w:t>Heritage Amendment Act 2023</w:t>
      </w:r>
      <w:r>
        <w:t xml:space="preserve"> and </w:t>
      </w:r>
      <w:r w:rsidRPr="009A3BF8">
        <w:rPr>
          <w:i/>
          <w:iCs/>
        </w:rPr>
        <w:t>Heritage Regulations Amendments 2024</w:t>
      </w:r>
      <w:r>
        <w:t xml:space="preserve"> </w:t>
      </w:r>
      <w:r w:rsidR="00FE540F">
        <w:t xml:space="preserve">make </w:t>
      </w:r>
      <w:r w:rsidR="002724E7">
        <w:t>several</w:t>
      </w:r>
      <w:r w:rsidR="00FE540F">
        <w:t xml:space="preserve"> changes affecting </w:t>
      </w:r>
      <w:r w:rsidR="00F62047">
        <w:t>heritage permit applicants.</w:t>
      </w:r>
    </w:p>
    <w:p w14:paraId="09B88BBF" w14:textId="00C5806F" w:rsidR="00F1252A" w:rsidRDefault="009A3BF8" w:rsidP="00F1252A">
      <w:pPr>
        <w:pStyle w:val="Introduction-small"/>
      </w:pPr>
      <w:r>
        <w:t xml:space="preserve">Changes take </w:t>
      </w:r>
      <w:r w:rsidR="006642AA">
        <w:t>e</w:t>
      </w:r>
      <w:r>
        <w:t xml:space="preserve">ffect 1 </w:t>
      </w:r>
      <w:r w:rsidR="00171A11">
        <w:t>February 2024</w:t>
      </w:r>
    </w:p>
    <w:p w14:paraId="31037266" w14:textId="77777777" w:rsidR="00F1252A" w:rsidRDefault="00F1252A" w:rsidP="00F1252A">
      <w:pPr>
        <w:sectPr w:rsidR="00F1252A" w:rsidSect="00F125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567" w:left="567" w:header="1701" w:footer="397" w:gutter="0"/>
          <w:cols w:space="567"/>
          <w:docGrid w:linePitch="360"/>
        </w:sectPr>
      </w:pPr>
    </w:p>
    <w:p w14:paraId="6C488F64" w14:textId="503B653A" w:rsidR="00287256" w:rsidRDefault="00FC1863" w:rsidP="00287256">
      <w:pPr>
        <w:pStyle w:val="Heading1"/>
      </w:pPr>
      <w:r>
        <w:t xml:space="preserve">New </w:t>
      </w:r>
      <w:r w:rsidR="00F839EF">
        <w:t>application</w:t>
      </w:r>
      <w:r w:rsidR="00925051">
        <w:t>s</w:t>
      </w:r>
    </w:p>
    <w:p w14:paraId="7D4C40BE" w14:textId="79B7A178" w:rsidR="00EF7BF8" w:rsidRPr="00EF7BF8" w:rsidRDefault="00EF7BF8" w:rsidP="00EF7BF8">
      <w:r>
        <w:t xml:space="preserve">The </w:t>
      </w:r>
      <w:r w:rsidRPr="00E00B16">
        <w:rPr>
          <w:i/>
          <w:iCs/>
        </w:rPr>
        <w:t>Heritage Amendment Act 2023</w:t>
      </w:r>
      <w:r>
        <w:t xml:space="preserve"> </w:t>
      </w:r>
      <w:r w:rsidR="00E00B16">
        <w:t xml:space="preserve">(the Act) </w:t>
      </w:r>
      <w:r w:rsidR="002D5217">
        <w:t xml:space="preserve">creates </w:t>
      </w:r>
      <w:r w:rsidR="007621CE">
        <w:t>two new applications to be made through the HeritageDesk portal.</w:t>
      </w:r>
    </w:p>
    <w:p w14:paraId="36B1EE8F" w14:textId="30E2A09B" w:rsidR="00287256" w:rsidRDefault="00EF7BF8" w:rsidP="00EF7BF8">
      <w:pPr>
        <w:pStyle w:val="Heading2"/>
      </w:pPr>
      <w:r>
        <w:t xml:space="preserve">Minor </w:t>
      </w:r>
      <w:r w:rsidR="00500251">
        <w:t>p</w:t>
      </w:r>
      <w:r>
        <w:t xml:space="preserve">ermit </w:t>
      </w:r>
      <w:r w:rsidR="009F077A">
        <w:t>a</w:t>
      </w:r>
      <w:r>
        <w:t>mendment</w:t>
      </w:r>
    </w:p>
    <w:p w14:paraId="2C8BFABA" w14:textId="365B1503" w:rsidR="00EF7BF8" w:rsidRDefault="0059147C" w:rsidP="00287256">
      <w:r>
        <w:t>This application</w:t>
      </w:r>
      <w:r w:rsidR="00DE4ECA">
        <w:t xml:space="preserve">, </w:t>
      </w:r>
      <w:r w:rsidR="00BB6D5B">
        <w:t xml:space="preserve">created by </w:t>
      </w:r>
      <w:r w:rsidR="00DE4ECA">
        <w:t xml:space="preserve">the new </w:t>
      </w:r>
      <w:r w:rsidR="00BB6D5B">
        <w:t>s</w:t>
      </w:r>
      <w:r w:rsidR="0022349E">
        <w:t>105B</w:t>
      </w:r>
      <w:r w:rsidR="00BB6D5B">
        <w:t xml:space="preserve"> of the </w:t>
      </w:r>
      <w:r w:rsidR="00751E78" w:rsidRPr="00751E78">
        <w:rPr>
          <w:i/>
          <w:iCs/>
        </w:rPr>
        <w:t>Heritage Act 2017</w:t>
      </w:r>
      <w:r w:rsidR="00E00B16">
        <w:t>,</w:t>
      </w:r>
      <w:r w:rsidR="00DE5AD6">
        <w:t xml:space="preserve"> </w:t>
      </w:r>
      <w:r w:rsidR="00D876AC">
        <w:t xml:space="preserve">can </w:t>
      </w:r>
      <w:r>
        <w:t>be used when an applicant wants to make minor changes to an existing permit.</w:t>
      </w:r>
      <w:r w:rsidR="007E4FE4">
        <w:t xml:space="preserve"> The Act </w:t>
      </w:r>
      <w:r w:rsidR="00745179">
        <w:t xml:space="preserve">explains this as ‘minor in the context of </w:t>
      </w:r>
      <w:r w:rsidR="00A20C7D">
        <w:t xml:space="preserve">the works or activities </w:t>
      </w:r>
      <w:r w:rsidR="006168F9">
        <w:t>authorised by the permit’.</w:t>
      </w:r>
    </w:p>
    <w:p w14:paraId="2FDF0A1A" w14:textId="4E492762" w:rsidR="00A25D66" w:rsidRDefault="00A25D66" w:rsidP="00287256">
      <w:r>
        <w:t>This application has no fee</w:t>
      </w:r>
      <w:r w:rsidR="004F6DE6">
        <w:t xml:space="preserve"> and a </w:t>
      </w:r>
      <w:r w:rsidR="00F00EE6">
        <w:t>20-business</w:t>
      </w:r>
      <w:r w:rsidR="004F6DE6">
        <w:t xml:space="preserve"> day statutory clock.</w:t>
      </w:r>
      <w:r w:rsidR="00786493">
        <w:t xml:space="preserve"> Minor permit amendment applications must be made during the validity period of the permit.</w:t>
      </w:r>
    </w:p>
    <w:p w14:paraId="48612AED" w14:textId="5C92ED2E" w:rsidR="004F6DE6" w:rsidRDefault="004F6DE6" w:rsidP="00287256">
      <w:r>
        <w:t xml:space="preserve">Examples of </w:t>
      </w:r>
      <w:r w:rsidR="001F22C6">
        <w:t>changes that may be eligible for a minor amendment:</w:t>
      </w:r>
    </w:p>
    <w:p w14:paraId="5E7D43DD" w14:textId="53A4C464" w:rsidR="001F22C6" w:rsidRDefault="00786493" w:rsidP="001F22C6">
      <w:pPr>
        <w:pStyle w:val="ListBullet"/>
      </w:pPr>
      <w:r>
        <w:t>Exten</w:t>
      </w:r>
      <w:r w:rsidR="00034893">
        <w:t xml:space="preserve">ding the </w:t>
      </w:r>
      <w:r w:rsidR="007B50AD">
        <w:t xml:space="preserve">period of </w:t>
      </w:r>
      <w:r>
        <w:t>validity</w:t>
      </w:r>
      <w:r w:rsidR="005B6CA1">
        <w:t xml:space="preserve"> </w:t>
      </w:r>
      <w:r>
        <w:t xml:space="preserve">of </w:t>
      </w:r>
      <w:r w:rsidR="007B50AD">
        <w:t xml:space="preserve">a </w:t>
      </w:r>
      <w:r>
        <w:t>permit</w:t>
      </w:r>
      <w:r w:rsidR="00B2679A">
        <w:t>.</w:t>
      </w:r>
    </w:p>
    <w:p w14:paraId="23228024" w14:textId="465F188E" w:rsidR="00786493" w:rsidRDefault="001B63D2" w:rsidP="005B6CA1">
      <w:pPr>
        <w:pStyle w:val="ListBullet"/>
        <w:numPr>
          <w:ilvl w:val="0"/>
          <w:numId w:val="35"/>
        </w:numPr>
      </w:pPr>
      <w:r>
        <w:t xml:space="preserve">Administrative changes </w:t>
      </w:r>
      <w:r w:rsidR="0048210C">
        <w:t>such as change of name on permit</w:t>
      </w:r>
      <w:r w:rsidR="00B2679A">
        <w:t>.</w:t>
      </w:r>
    </w:p>
    <w:p w14:paraId="0D638549" w14:textId="730F13D5" w:rsidR="00962CC1" w:rsidRDefault="009A46AD" w:rsidP="00962CC1">
      <w:pPr>
        <w:pStyle w:val="ListBullet"/>
        <w:numPr>
          <w:ilvl w:val="0"/>
          <w:numId w:val="35"/>
        </w:numPr>
      </w:pPr>
      <w:r>
        <w:t xml:space="preserve">Minor changes to </w:t>
      </w:r>
      <w:r w:rsidR="00E47EE0">
        <w:t xml:space="preserve">works or activities </w:t>
      </w:r>
      <w:r w:rsidR="00815AD2">
        <w:t xml:space="preserve">(if not captured by an existing condition on the permit) </w:t>
      </w:r>
      <w:r w:rsidR="00441012">
        <w:t xml:space="preserve">where the result is the same or substantially the same as </w:t>
      </w:r>
      <w:r w:rsidR="009F6014">
        <w:t>that</w:t>
      </w:r>
      <w:r w:rsidR="00034893">
        <w:t xml:space="preserve"> </w:t>
      </w:r>
      <w:r w:rsidR="00441012">
        <w:t>originally approved.</w:t>
      </w:r>
    </w:p>
    <w:p w14:paraId="1C15205D" w14:textId="1CED97A6" w:rsidR="006B034B" w:rsidRDefault="008A5FD6" w:rsidP="00F56476">
      <w:r>
        <w:t xml:space="preserve">The </w:t>
      </w:r>
      <w:r w:rsidR="0089106C">
        <w:t>e</w:t>
      </w:r>
      <w:r>
        <w:t xml:space="preserve">xecutive </w:t>
      </w:r>
      <w:r w:rsidR="0089106C">
        <w:t>d</w:t>
      </w:r>
      <w:r>
        <w:t>irector may refuse a request</w:t>
      </w:r>
      <w:r w:rsidR="002E31B4">
        <w:t xml:space="preserve"> to make a minor amendment</w:t>
      </w:r>
      <w:r>
        <w:t xml:space="preserve"> </w:t>
      </w:r>
      <w:r w:rsidR="00F474C4">
        <w:t xml:space="preserve">if they consider that </w:t>
      </w:r>
      <w:r w:rsidR="00AD665A">
        <w:t xml:space="preserve">the </w:t>
      </w:r>
      <w:r w:rsidR="008B2289">
        <w:t>requested amendment would</w:t>
      </w:r>
      <w:r w:rsidR="00AD665A">
        <w:t xml:space="preserve"> result in harm</w:t>
      </w:r>
      <w:r w:rsidR="008B2289">
        <w:t>.</w:t>
      </w:r>
    </w:p>
    <w:p w14:paraId="529AA039" w14:textId="16D10E34" w:rsidR="00B2679A" w:rsidRDefault="00F6465A" w:rsidP="00B2679A">
      <w:pPr>
        <w:pStyle w:val="Heading2"/>
      </w:pPr>
      <w:r>
        <w:t xml:space="preserve">Exemption for the </w:t>
      </w:r>
      <w:r w:rsidR="00225431">
        <w:t>purposes of religious services or rites</w:t>
      </w:r>
    </w:p>
    <w:p w14:paraId="32E5475A" w14:textId="03E8ABA7" w:rsidR="00225431" w:rsidRDefault="007772C6" w:rsidP="00225431">
      <w:r>
        <w:t>Amendments to s</w:t>
      </w:r>
      <w:r w:rsidR="00DF7239">
        <w:t xml:space="preserve">90 </w:t>
      </w:r>
      <w:r w:rsidR="00BE714F">
        <w:t>of th</w:t>
      </w:r>
      <w:r w:rsidR="004F6215">
        <w:t xml:space="preserve">e </w:t>
      </w:r>
      <w:r w:rsidR="004F6215" w:rsidRPr="007772C6">
        <w:rPr>
          <w:i/>
          <w:iCs/>
        </w:rPr>
        <w:t>Heritage Act 2017</w:t>
      </w:r>
      <w:r w:rsidR="004F6215">
        <w:t xml:space="preserve"> </w:t>
      </w:r>
      <w:r w:rsidR="002E31B4">
        <w:t xml:space="preserve">change provisions to </w:t>
      </w:r>
      <w:r w:rsidR="009D1B5E">
        <w:t>exempt</w:t>
      </w:r>
      <w:r w:rsidR="00762662">
        <w:t xml:space="preserve"> works </w:t>
      </w:r>
      <w:r w:rsidR="001D1059">
        <w:t xml:space="preserve">at a religious place </w:t>
      </w:r>
      <w:r w:rsidR="00FB0581">
        <w:t>i</w:t>
      </w:r>
      <w:r w:rsidR="001D1059">
        <w:t>n the V</w:t>
      </w:r>
      <w:r w:rsidR="002E31B4">
        <w:t>ictorian Heritage Register</w:t>
      </w:r>
      <w:r w:rsidR="001D1059">
        <w:t xml:space="preserve"> for the purposes </w:t>
      </w:r>
      <w:r w:rsidR="001949AB">
        <w:t>of religious services or rites</w:t>
      </w:r>
      <w:r w:rsidR="0071611B">
        <w:t xml:space="preserve">. The applicant must </w:t>
      </w:r>
      <w:r w:rsidR="002E31B4">
        <w:t xml:space="preserve">now </w:t>
      </w:r>
      <w:r w:rsidR="0071611B">
        <w:t>give notice</w:t>
      </w:r>
      <w:r w:rsidR="009D1B5E">
        <w:t xml:space="preserve"> in the prescribed form</w:t>
      </w:r>
      <w:r w:rsidR="0071611B">
        <w:t xml:space="preserve"> to the </w:t>
      </w:r>
      <w:r w:rsidR="0089106C">
        <w:t>e</w:t>
      </w:r>
      <w:r w:rsidR="0071611B">
        <w:t xml:space="preserve">xecutive </w:t>
      </w:r>
      <w:r w:rsidR="0089106C">
        <w:t>d</w:t>
      </w:r>
      <w:r w:rsidR="0071611B">
        <w:t>irector</w:t>
      </w:r>
      <w:r w:rsidR="00A54461">
        <w:t xml:space="preserve"> at least 20 business days </w:t>
      </w:r>
      <w:r w:rsidR="00C9559E">
        <w:t>before the works are to commence.</w:t>
      </w:r>
      <w:r w:rsidR="00014B7A">
        <w:t xml:space="preserve"> </w:t>
      </w:r>
    </w:p>
    <w:p w14:paraId="62EA312C" w14:textId="53C401EE" w:rsidR="009940AD" w:rsidRPr="00225431" w:rsidRDefault="000B0886" w:rsidP="00225431">
      <w:r>
        <w:t xml:space="preserve">If the </w:t>
      </w:r>
      <w:r w:rsidR="0089106C">
        <w:t>e</w:t>
      </w:r>
      <w:r>
        <w:t xml:space="preserve">xecutive </w:t>
      </w:r>
      <w:r w:rsidR="0089106C">
        <w:t>d</w:t>
      </w:r>
      <w:r>
        <w:t>irector</w:t>
      </w:r>
      <w:r w:rsidR="002827D3">
        <w:t xml:space="preserve"> is not satisfied that </w:t>
      </w:r>
      <w:r w:rsidR="008B144D">
        <w:t xml:space="preserve">the works are for </w:t>
      </w:r>
      <w:r w:rsidR="008A20AF">
        <w:t xml:space="preserve">the purposes of religious services or rites, </w:t>
      </w:r>
      <w:r w:rsidR="00DA03DB">
        <w:t>t</w:t>
      </w:r>
      <w:r w:rsidR="008A20AF">
        <w:t>he</w:t>
      </w:r>
      <w:r w:rsidR="00DA03DB">
        <w:t>y</w:t>
      </w:r>
      <w:r w:rsidR="008A20AF">
        <w:t xml:space="preserve"> may</w:t>
      </w:r>
      <w:r w:rsidR="009F6DF0">
        <w:t xml:space="preserve"> give notice that a permit is required</w:t>
      </w:r>
      <w:r w:rsidR="0094758C">
        <w:t xml:space="preserve"> within 15 business days</w:t>
      </w:r>
      <w:r w:rsidR="00386C9D">
        <w:t xml:space="preserve"> of receiving the notification</w:t>
      </w:r>
      <w:r w:rsidR="00ED62B1">
        <w:t>.</w:t>
      </w:r>
      <w:r w:rsidR="009D1B5E">
        <w:t xml:space="preserve"> </w:t>
      </w:r>
    </w:p>
    <w:p w14:paraId="6319A7E8" w14:textId="578BF926" w:rsidR="00CE426D" w:rsidRDefault="00652859" w:rsidP="00652859">
      <w:pPr>
        <w:pStyle w:val="Heading1"/>
      </w:pPr>
      <w:r>
        <w:t xml:space="preserve">Changes to statutory </w:t>
      </w:r>
      <w:r w:rsidR="006A5952">
        <w:t>timeframes</w:t>
      </w:r>
    </w:p>
    <w:p w14:paraId="5FDD6CE4" w14:textId="28AA35BE" w:rsidR="00776F24" w:rsidRDefault="00DA43CE" w:rsidP="0062136B">
      <w:r>
        <w:t>Heritage Victoria’s</w:t>
      </w:r>
      <w:r w:rsidR="00936CE4">
        <w:t xml:space="preserve"> statutory timeframes </w:t>
      </w:r>
      <w:r w:rsidR="006A5952">
        <w:t xml:space="preserve">for </w:t>
      </w:r>
      <w:r>
        <w:t>application assessments</w:t>
      </w:r>
      <w:r w:rsidR="006A5952">
        <w:t xml:space="preserve"> </w:t>
      </w:r>
      <w:r w:rsidR="00936CE4">
        <w:t>have been converted</w:t>
      </w:r>
      <w:r w:rsidR="006A5952">
        <w:t xml:space="preserve"> from </w:t>
      </w:r>
      <w:r w:rsidR="003D4DD1">
        <w:t xml:space="preserve">calendar </w:t>
      </w:r>
      <w:r w:rsidR="006A5952">
        <w:t xml:space="preserve">days to business days. This ensures that weekends and public holidays have no </w:t>
      </w:r>
      <w:r w:rsidR="00DC303E">
        <w:t>effect on the quality or timeliness of assessments and notices.</w:t>
      </w:r>
      <w:r w:rsidR="004D454B">
        <w:t xml:space="preserve"> Some notable examples include:</w:t>
      </w:r>
    </w:p>
    <w:p w14:paraId="26972D06" w14:textId="1A4B1018" w:rsidR="004D454B" w:rsidRDefault="0065074D" w:rsidP="002E31B4">
      <w:pPr>
        <w:pStyle w:val="ListBullet"/>
        <w:numPr>
          <w:ilvl w:val="0"/>
          <w:numId w:val="35"/>
        </w:numPr>
      </w:pPr>
      <w:r>
        <w:t>Permit assessment timeframe becomes 45 business days.</w:t>
      </w:r>
      <w:r w:rsidR="008A372A">
        <w:t xml:space="preserve"> s97(3)</w:t>
      </w:r>
    </w:p>
    <w:p w14:paraId="0B3943FC" w14:textId="786EBD79" w:rsidR="0065074D" w:rsidRDefault="00FD3F60" w:rsidP="002E31B4">
      <w:pPr>
        <w:pStyle w:val="ListBullet"/>
        <w:numPr>
          <w:ilvl w:val="0"/>
          <w:numId w:val="35"/>
        </w:numPr>
      </w:pPr>
      <w:r>
        <w:t>Permit amendment assessment timeframe becomes 20 business days.</w:t>
      </w:r>
      <w:r w:rsidR="00F839EF">
        <w:t xml:space="preserve"> s105(5)</w:t>
      </w:r>
    </w:p>
    <w:p w14:paraId="7CE580F3" w14:textId="20B346E6" w:rsidR="00E25051" w:rsidRDefault="000A0935" w:rsidP="002E31B4">
      <w:pPr>
        <w:pStyle w:val="ListBullet"/>
        <w:numPr>
          <w:ilvl w:val="0"/>
          <w:numId w:val="35"/>
        </w:numPr>
      </w:pPr>
      <w:r>
        <w:t xml:space="preserve">Timeframe to </w:t>
      </w:r>
      <w:r w:rsidR="004440DA">
        <w:t xml:space="preserve">issue a permit following the </w:t>
      </w:r>
      <w:r w:rsidR="0089106C">
        <w:t>e</w:t>
      </w:r>
      <w:r w:rsidR="004440DA">
        <w:t xml:space="preserve">xecutive </w:t>
      </w:r>
      <w:r w:rsidR="0089106C">
        <w:t>d</w:t>
      </w:r>
      <w:r w:rsidR="004440DA">
        <w:t>irector’s decision becomes 5 business days.</w:t>
      </w:r>
      <w:r w:rsidR="006D4452">
        <w:t xml:space="preserve"> s102</w:t>
      </w:r>
    </w:p>
    <w:p w14:paraId="4B0284B5" w14:textId="2EACCA04" w:rsidR="00E84492" w:rsidRDefault="00E84492" w:rsidP="002E31B4">
      <w:pPr>
        <w:pStyle w:val="ListBullet"/>
        <w:numPr>
          <w:ilvl w:val="0"/>
          <w:numId w:val="35"/>
        </w:numPr>
      </w:pPr>
      <w:r>
        <w:t xml:space="preserve">Timeframe within which </w:t>
      </w:r>
      <w:r w:rsidR="00E01A92">
        <w:t>a responsible authority or local council may make a referral response becomes 20 business days.</w:t>
      </w:r>
      <w:r w:rsidR="007D68D6">
        <w:t xml:space="preserve"> s100(3)(a)</w:t>
      </w:r>
    </w:p>
    <w:p w14:paraId="4AC475C7" w14:textId="0F407F27" w:rsidR="00776F24" w:rsidRDefault="00A75E32" w:rsidP="0062136B">
      <w:r>
        <w:t xml:space="preserve">Statutory clock changes will only affect applications lodged after 1 February 2024. Any application lodged prior to this time will still </w:t>
      </w:r>
      <w:r w:rsidR="00B16509">
        <w:t>be subject to previous timeframes</w:t>
      </w:r>
      <w:r w:rsidR="003700CE">
        <w:t xml:space="preserve"> </w:t>
      </w:r>
      <w:r w:rsidR="00EA4FEB">
        <w:t>of Heritage Victoria</w:t>
      </w:r>
    </w:p>
    <w:p w14:paraId="541F2002" w14:textId="51656962" w:rsidR="00F53F1D" w:rsidRDefault="00296A75" w:rsidP="00B66F5C">
      <w:pPr>
        <w:pStyle w:val="Heading1"/>
      </w:pPr>
      <w:r>
        <w:t xml:space="preserve">The </w:t>
      </w:r>
      <w:r w:rsidR="00954A9B">
        <w:t>E</w:t>
      </w:r>
      <w:r w:rsidR="002E31B4">
        <w:t xml:space="preserve">xecutive </w:t>
      </w:r>
      <w:r>
        <w:t>D</w:t>
      </w:r>
      <w:r w:rsidR="002E31B4">
        <w:t>irector</w:t>
      </w:r>
      <w:r w:rsidR="00072C25">
        <w:t xml:space="preserve"> </w:t>
      </w:r>
      <w:r w:rsidR="00C65024">
        <w:t xml:space="preserve">of </w:t>
      </w:r>
      <w:r w:rsidR="00072C25">
        <w:t>Heritage Victoria</w:t>
      </w:r>
      <w:r w:rsidR="00954A9B">
        <w:t xml:space="preserve"> may </w:t>
      </w:r>
      <w:r w:rsidR="00B66F5C">
        <w:t>initiate a permit application amendment</w:t>
      </w:r>
    </w:p>
    <w:p w14:paraId="275BF6BE" w14:textId="467B0098" w:rsidR="00675964" w:rsidRDefault="00B96F73" w:rsidP="00B66F5C">
      <w:r>
        <w:t xml:space="preserve">The </w:t>
      </w:r>
      <w:r w:rsidR="0089106C">
        <w:t>e</w:t>
      </w:r>
      <w:r>
        <w:t xml:space="preserve">xecutive </w:t>
      </w:r>
      <w:r w:rsidR="0089106C">
        <w:t>d</w:t>
      </w:r>
      <w:r>
        <w:t>irector may</w:t>
      </w:r>
      <w:r w:rsidR="0082718D">
        <w:t xml:space="preserve"> now</w:t>
      </w:r>
      <w:r>
        <w:t xml:space="preserve"> </w:t>
      </w:r>
      <w:r w:rsidR="00267834">
        <w:t>amend a permit application</w:t>
      </w:r>
      <w:r w:rsidR="00AF1CBA">
        <w:t xml:space="preserve"> (during assessment)</w:t>
      </w:r>
      <w:r w:rsidR="00267834">
        <w:t xml:space="preserve"> </w:t>
      </w:r>
      <w:r w:rsidR="00A62C99">
        <w:t>under s</w:t>
      </w:r>
      <w:r w:rsidR="0082718D">
        <w:t xml:space="preserve">96A of the </w:t>
      </w:r>
      <w:r w:rsidR="0082718D" w:rsidRPr="00DF7239">
        <w:rPr>
          <w:i/>
          <w:iCs/>
        </w:rPr>
        <w:t>Heritage Act 2017</w:t>
      </w:r>
      <w:r w:rsidR="00675964">
        <w:t xml:space="preserve"> if </w:t>
      </w:r>
      <w:r w:rsidR="0030530B">
        <w:t>t</w:t>
      </w:r>
      <w:r w:rsidR="001B51DF">
        <w:t>he</w:t>
      </w:r>
      <w:r w:rsidR="0030530B">
        <w:t>y</w:t>
      </w:r>
      <w:r w:rsidR="001B51DF">
        <w:t xml:space="preserve"> </w:t>
      </w:r>
      <w:r w:rsidR="00675964">
        <w:t>consider that ‘the amendment would assist with the protection or conservation of the cultural heritage significance of the registered place or registered object</w:t>
      </w:r>
      <w:r w:rsidR="00700FF9">
        <w:t>’.</w:t>
      </w:r>
    </w:p>
    <w:p w14:paraId="6DB4C0C9" w14:textId="143FC2FD" w:rsidR="00AF1CBA" w:rsidRDefault="008D66C0" w:rsidP="00B66F5C">
      <w:r>
        <w:t>Written c</w:t>
      </w:r>
      <w:r w:rsidR="00700FF9">
        <w:t>onsent of the owner and permit applicant is required</w:t>
      </w:r>
      <w:r w:rsidR="00AF1CBA">
        <w:t>, no fee is incurred.</w:t>
      </w:r>
    </w:p>
    <w:p w14:paraId="062E3150" w14:textId="2D153028" w:rsidR="00AF1CBA" w:rsidRDefault="002271F8" w:rsidP="00B66F5C">
      <w:r>
        <w:t xml:space="preserve">Submitters </w:t>
      </w:r>
      <w:r w:rsidR="00B97350">
        <w:t xml:space="preserve">are notified and the </w:t>
      </w:r>
      <w:r w:rsidR="0089106C">
        <w:t>e</w:t>
      </w:r>
      <w:r w:rsidR="00424D10">
        <w:t xml:space="preserve">xecutive </w:t>
      </w:r>
      <w:r w:rsidR="0089106C">
        <w:t>d</w:t>
      </w:r>
      <w:r w:rsidR="00424D10">
        <w:t>irector may require the permit application to be re-advertised.</w:t>
      </w:r>
    </w:p>
    <w:p w14:paraId="25919ACA" w14:textId="0F8E42F4" w:rsidR="0019794B" w:rsidRDefault="0019794B" w:rsidP="0019794B">
      <w:pPr>
        <w:pStyle w:val="Heading1"/>
      </w:pPr>
      <w:r>
        <w:t>Further information requests for permit amendment applications</w:t>
      </w:r>
    </w:p>
    <w:p w14:paraId="6129D86A" w14:textId="21B935AB" w:rsidR="0019794B" w:rsidRPr="00222259" w:rsidRDefault="009732E2" w:rsidP="0019794B">
      <w:r>
        <w:t>New s</w:t>
      </w:r>
      <w:r w:rsidR="00222259">
        <w:t xml:space="preserve">105A of the </w:t>
      </w:r>
      <w:r w:rsidR="00222259" w:rsidRPr="00222259">
        <w:rPr>
          <w:i/>
          <w:iCs/>
        </w:rPr>
        <w:t>Heritage Act 2017</w:t>
      </w:r>
      <w:r w:rsidR="00222259">
        <w:rPr>
          <w:i/>
          <w:iCs/>
        </w:rPr>
        <w:t xml:space="preserve"> </w:t>
      </w:r>
      <w:r w:rsidR="001F00E1">
        <w:t xml:space="preserve">gives </w:t>
      </w:r>
      <w:r w:rsidR="00792D11">
        <w:t>Heritage</w:t>
      </w:r>
      <w:r w:rsidR="001F00E1">
        <w:t xml:space="preserve"> </w:t>
      </w:r>
      <w:r w:rsidR="00792D11">
        <w:t>Victoria</w:t>
      </w:r>
      <w:r w:rsidR="001F00E1">
        <w:t xml:space="preserve"> the ability to issue a further information request in </w:t>
      </w:r>
      <w:r w:rsidR="001F00E1">
        <w:lastRenderedPageBreak/>
        <w:t>relation to permit amendment applications.</w:t>
      </w:r>
      <w:r w:rsidR="008A0F14">
        <w:t xml:space="preserve"> Further information requests </w:t>
      </w:r>
      <w:r w:rsidR="0069544D">
        <w:t>stop the statutory clock and the application lapses if the information is not provided before the requested date.</w:t>
      </w:r>
      <w:r w:rsidR="00983109">
        <w:t xml:space="preserve"> Additional time can be requested by the applicant.</w:t>
      </w:r>
    </w:p>
    <w:p w14:paraId="164338CF" w14:textId="36CA96F1" w:rsidR="00B66F5C" w:rsidRDefault="002E31B4" w:rsidP="005134B5">
      <w:pPr>
        <w:pStyle w:val="Heading1"/>
      </w:pPr>
      <w:r>
        <w:t>Relevant o</w:t>
      </w:r>
      <w:r w:rsidR="005134B5">
        <w:t xml:space="preserve">wners’ consent </w:t>
      </w:r>
      <w:r>
        <w:t>for</w:t>
      </w:r>
      <w:r w:rsidR="005134B5">
        <w:t xml:space="preserve"> permit application</w:t>
      </w:r>
    </w:p>
    <w:p w14:paraId="3442DB1A" w14:textId="0609FA25" w:rsidR="009F0675" w:rsidRDefault="00085ACD" w:rsidP="005134B5">
      <w:r>
        <w:t xml:space="preserve">Amendments to s93(3) of the </w:t>
      </w:r>
      <w:r w:rsidRPr="00085ACD">
        <w:rPr>
          <w:i/>
          <w:iCs/>
        </w:rPr>
        <w:t>Heritage Act</w:t>
      </w:r>
      <w:r w:rsidR="00811D67">
        <w:rPr>
          <w:i/>
          <w:iCs/>
        </w:rPr>
        <w:t xml:space="preserve"> 2017</w:t>
      </w:r>
      <w:r>
        <w:t xml:space="preserve"> clarify </w:t>
      </w:r>
      <w:r w:rsidR="00B805A7">
        <w:t>that when a permit is sought for</w:t>
      </w:r>
      <w:r w:rsidR="00BB5CE2">
        <w:t xml:space="preserve"> only part of a registered place, the applicant is only required to obtain consent </w:t>
      </w:r>
      <w:r w:rsidR="00FE74FD">
        <w:t xml:space="preserve">of the owner or government asset manager of that part. </w:t>
      </w:r>
    </w:p>
    <w:p w14:paraId="10D68782" w14:textId="5F484919" w:rsidR="005134B5" w:rsidRDefault="00FE74FD" w:rsidP="005134B5">
      <w:r>
        <w:t>For example, if works are to a single apartment of</w:t>
      </w:r>
      <w:r w:rsidR="009F0675">
        <w:t xml:space="preserve"> a V</w:t>
      </w:r>
      <w:r w:rsidR="002E31B4">
        <w:t xml:space="preserve">ictorian </w:t>
      </w:r>
      <w:r w:rsidR="00D13362">
        <w:t>H</w:t>
      </w:r>
      <w:r w:rsidR="002E31B4">
        <w:t xml:space="preserve">eritage </w:t>
      </w:r>
      <w:r w:rsidR="00D13362">
        <w:t>R</w:t>
      </w:r>
      <w:r w:rsidR="002E31B4">
        <w:t>egister</w:t>
      </w:r>
      <w:r w:rsidR="009F0675">
        <w:t xml:space="preserve"> places which contains many apartments, </w:t>
      </w:r>
      <w:r w:rsidR="007208FF">
        <w:t xml:space="preserve">owners’ </w:t>
      </w:r>
      <w:r w:rsidR="009F0675">
        <w:t xml:space="preserve">consent is only required </w:t>
      </w:r>
      <w:r w:rsidR="007208FF">
        <w:t>for the apartment where the works take place.</w:t>
      </w:r>
    </w:p>
    <w:p w14:paraId="4E010E93" w14:textId="2871B165" w:rsidR="000A0DB9" w:rsidRDefault="000A0DB9" w:rsidP="000A0DB9">
      <w:pPr>
        <w:pStyle w:val="Heading1"/>
      </w:pPr>
      <w:r>
        <w:t>Heritage Council can utilise security funds</w:t>
      </w:r>
    </w:p>
    <w:p w14:paraId="33DDB2D5" w14:textId="399500AF" w:rsidR="00584CA4" w:rsidRDefault="00584CA4" w:rsidP="00584CA4">
      <w:r>
        <w:t>New section s</w:t>
      </w:r>
      <w:r w:rsidR="00BE644E">
        <w:t xml:space="preserve">101A of the </w:t>
      </w:r>
      <w:r w:rsidR="00BE644E" w:rsidRPr="00BE644E">
        <w:rPr>
          <w:i/>
          <w:iCs/>
        </w:rPr>
        <w:t>Heritage Act 2017</w:t>
      </w:r>
      <w:r w:rsidR="009C3818" w:rsidRPr="009C3818">
        <w:t xml:space="preserve"> clarif</w:t>
      </w:r>
      <w:r w:rsidR="00792D11">
        <w:t>ies</w:t>
      </w:r>
      <w:r w:rsidR="009C3818" w:rsidRPr="009C3818">
        <w:t xml:space="preserve"> the terms </w:t>
      </w:r>
      <w:r w:rsidR="009C3818">
        <w:t>under which the Heritage Council may</w:t>
      </w:r>
      <w:r w:rsidR="00F25171">
        <w:t xml:space="preserve"> receive,</w:t>
      </w:r>
      <w:r w:rsidR="009C3818">
        <w:t xml:space="preserve"> </w:t>
      </w:r>
      <w:r w:rsidR="00F25171">
        <w:t xml:space="preserve">utilise, and return security funds received as part of </w:t>
      </w:r>
      <w:r w:rsidR="002E31B4">
        <w:t>a</w:t>
      </w:r>
      <w:r w:rsidR="00F25171">
        <w:t xml:space="preserve"> permit condition</w:t>
      </w:r>
      <w:r w:rsidR="00251503">
        <w:t xml:space="preserve">. </w:t>
      </w:r>
    </w:p>
    <w:p w14:paraId="6A73712C" w14:textId="616CEA14" w:rsidR="005B1E8D" w:rsidRDefault="005B1E8D" w:rsidP="00584CA4">
      <w:r>
        <w:t xml:space="preserve">These funds now may be </w:t>
      </w:r>
      <w:r w:rsidR="001B536A">
        <w:t xml:space="preserve">paid out to the </w:t>
      </w:r>
      <w:r w:rsidR="00567963">
        <w:t>Heritage</w:t>
      </w:r>
      <w:r w:rsidR="001B536A">
        <w:t xml:space="preserve"> </w:t>
      </w:r>
      <w:r w:rsidR="00296A75">
        <w:t>f</w:t>
      </w:r>
      <w:r w:rsidR="001B536A">
        <w:t>und</w:t>
      </w:r>
      <w:r w:rsidR="00994DD2">
        <w:t xml:space="preserve"> and utilised </w:t>
      </w:r>
      <w:r w:rsidR="00872EB5">
        <w:t>to complete the subject works as per below:</w:t>
      </w:r>
    </w:p>
    <w:p w14:paraId="5AFB1FB5" w14:textId="31B96161" w:rsidR="000A0DB9" w:rsidRPr="00F75867" w:rsidRDefault="00B00E14" w:rsidP="00F75867">
      <w:pPr>
        <w:pStyle w:val="Pull-outQuoteHeading"/>
        <w:pBdr>
          <w:top w:val="single" w:sz="4" w:space="4" w:color="E7E6E6" w:themeColor="background2"/>
          <w:left w:val="single" w:sz="4" w:space="4" w:color="E7E6E6" w:themeColor="background2"/>
          <w:bottom w:val="single" w:sz="4" w:space="4" w:color="E7E6E6" w:themeColor="background2"/>
          <w:right w:val="single" w:sz="4" w:space="4" w:color="E7E6E6" w:themeColor="background2"/>
        </w:pBdr>
        <w:shd w:val="clear" w:color="auto" w:fill="E6E8EA"/>
        <w:spacing w:before="240" w:after="240"/>
        <w:rPr>
          <w:b w:val="0"/>
          <w:bCs/>
          <w:color w:val="auto"/>
        </w:rPr>
      </w:pPr>
      <w:r w:rsidRPr="00F75867">
        <w:rPr>
          <w:b w:val="0"/>
          <w:bCs/>
          <w:color w:val="auto"/>
        </w:rPr>
        <w:t>101A Approval of permit applications subject to security</w:t>
      </w:r>
      <w:r w:rsidR="00F75867" w:rsidRPr="00F75867">
        <w:rPr>
          <w:b w:val="0"/>
          <w:bCs/>
          <w:color w:val="auto"/>
        </w:rPr>
        <w:br/>
      </w:r>
      <w:r w:rsidRPr="00F75867">
        <w:rPr>
          <w:b w:val="0"/>
          <w:bCs/>
          <w:color w:val="auto"/>
        </w:rPr>
        <w:t xml:space="preserve">(3) </w:t>
      </w:r>
      <w:r w:rsidR="009D7745" w:rsidRPr="00F75867">
        <w:rPr>
          <w:b w:val="0"/>
          <w:bCs/>
          <w:color w:val="auto"/>
        </w:rPr>
        <w:t xml:space="preserve">The Heritage Council, for the following purposes, may pay out of the Heritage Fund a security received under subsection (1)— </w:t>
      </w:r>
      <w:r w:rsidR="00F75867" w:rsidRPr="00F75867">
        <w:rPr>
          <w:b w:val="0"/>
          <w:bCs/>
          <w:color w:val="auto"/>
        </w:rPr>
        <w:br/>
      </w:r>
      <w:r w:rsidR="009D7745" w:rsidRPr="00F75867">
        <w:rPr>
          <w:b w:val="0"/>
          <w:bCs/>
          <w:color w:val="auto"/>
        </w:rPr>
        <w:t xml:space="preserve">(a) in accordance with the terms and conditions of the permit, for the satisfactory completion of the works or activities in respect of which the security was given; </w:t>
      </w:r>
      <w:r w:rsidR="00F75867" w:rsidRPr="00F75867">
        <w:rPr>
          <w:b w:val="0"/>
          <w:bCs/>
          <w:color w:val="auto"/>
        </w:rPr>
        <w:br/>
      </w:r>
      <w:r w:rsidR="009D7745" w:rsidRPr="00F75867">
        <w:rPr>
          <w:b w:val="0"/>
          <w:bCs/>
          <w:color w:val="auto"/>
        </w:rPr>
        <w:t xml:space="preserve">(b) making the security available to the </w:t>
      </w:r>
      <w:r w:rsidR="0089106C" w:rsidRPr="00F75867">
        <w:rPr>
          <w:b w:val="0"/>
          <w:bCs/>
          <w:color w:val="auto"/>
        </w:rPr>
        <w:t>e</w:t>
      </w:r>
      <w:r w:rsidR="009D7745" w:rsidRPr="00F75867">
        <w:rPr>
          <w:b w:val="0"/>
          <w:bCs/>
          <w:color w:val="auto"/>
        </w:rPr>
        <w:t xml:space="preserve">xecutive </w:t>
      </w:r>
      <w:r w:rsidR="0089106C" w:rsidRPr="00F75867">
        <w:rPr>
          <w:b w:val="0"/>
          <w:bCs/>
          <w:color w:val="auto"/>
        </w:rPr>
        <w:t>d</w:t>
      </w:r>
      <w:r w:rsidR="009D7745" w:rsidRPr="00F75867">
        <w:rPr>
          <w:b w:val="0"/>
          <w:bCs/>
          <w:color w:val="auto"/>
        </w:rPr>
        <w:t xml:space="preserve">irector under section 159(2); </w:t>
      </w:r>
      <w:r w:rsidR="00F75867" w:rsidRPr="00F75867">
        <w:rPr>
          <w:b w:val="0"/>
          <w:bCs/>
          <w:color w:val="auto"/>
        </w:rPr>
        <w:br/>
      </w:r>
      <w:r w:rsidR="009D7745" w:rsidRPr="00F75867">
        <w:rPr>
          <w:b w:val="0"/>
          <w:bCs/>
          <w:color w:val="auto"/>
        </w:rPr>
        <w:t>(c) in accordance with the terms and conditions of the permit, for compliance with the other condition imposed on the permit in respect of which the security was given.</w:t>
      </w:r>
    </w:p>
    <w:p w14:paraId="5F8D6F4B" w14:textId="233AA1BD" w:rsidR="000A0DB9" w:rsidRPr="000A0DB9" w:rsidRDefault="000A0DB9" w:rsidP="00BA3D4C">
      <w:pPr>
        <w:pStyle w:val="Heading1"/>
      </w:pPr>
      <w:r>
        <w:t xml:space="preserve">Executive </w:t>
      </w:r>
      <w:r w:rsidR="0089106C">
        <w:t>d</w:t>
      </w:r>
      <w:r>
        <w:t xml:space="preserve">irector may </w:t>
      </w:r>
      <w:r w:rsidR="00D96D1D">
        <w:t>revoke or amend a permit exemption</w:t>
      </w:r>
    </w:p>
    <w:p w14:paraId="13EB73D7" w14:textId="74DC58C6" w:rsidR="00DE3B29" w:rsidRDefault="00DE3B29" w:rsidP="00DE3B29">
      <w:r>
        <w:t xml:space="preserve">Amendments to s92 of the </w:t>
      </w:r>
      <w:r w:rsidRPr="00753BC8">
        <w:rPr>
          <w:i/>
          <w:iCs/>
        </w:rPr>
        <w:t>Heritage Act 2017</w:t>
      </w:r>
      <w:r>
        <w:t xml:space="preserve"> allow the </w:t>
      </w:r>
      <w:r w:rsidR="0089106C">
        <w:t>e</w:t>
      </w:r>
      <w:r>
        <w:t xml:space="preserve">xecutive </w:t>
      </w:r>
      <w:r w:rsidR="0089106C">
        <w:t>d</w:t>
      </w:r>
      <w:r>
        <w:t xml:space="preserve">irector to revoke or amend a </w:t>
      </w:r>
      <w:r w:rsidR="00242D6B">
        <w:t xml:space="preserve">permit exemption issued under s92(3) </w:t>
      </w:r>
      <w:r w:rsidR="00BA6CFA">
        <w:t xml:space="preserve">when </w:t>
      </w:r>
      <w:r w:rsidR="003E3664">
        <w:t>t</w:t>
      </w:r>
      <w:r w:rsidR="00BA6CFA">
        <w:t>he</w:t>
      </w:r>
      <w:r w:rsidR="003E3664">
        <w:t>y</w:t>
      </w:r>
      <w:r w:rsidR="00BA6CFA">
        <w:t xml:space="preserve"> consider that the works or activities harm the cultural heritage significance of the place or object. </w:t>
      </w:r>
    </w:p>
    <w:p w14:paraId="20295091" w14:textId="114797FC" w:rsidR="00753BC8" w:rsidRDefault="00EC29A2" w:rsidP="00DE3B29">
      <w:r>
        <w:t>Heritage Victoria must notify the owner of the place or object within 5 business days</w:t>
      </w:r>
      <w:r w:rsidR="00F473E7">
        <w:t>.</w:t>
      </w:r>
    </w:p>
    <w:p w14:paraId="4F86C2BE" w14:textId="3D56D4CF" w:rsidR="00C81810" w:rsidRDefault="00C81810" w:rsidP="00C81810">
      <w:pPr>
        <w:pStyle w:val="Heading1"/>
      </w:pPr>
      <w:r>
        <w:t>Questions or queries</w:t>
      </w:r>
    </w:p>
    <w:p w14:paraId="7FE9C5D1" w14:textId="47499DC3" w:rsidR="00C81810" w:rsidRDefault="00C81810" w:rsidP="00C81810">
      <w:r>
        <w:t xml:space="preserve">If you have any questions about these </w:t>
      </w:r>
      <w:r w:rsidR="00D17498">
        <w:t>changes, p</w:t>
      </w:r>
      <w:r>
        <w:t xml:space="preserve">lease contact </w:t>
      </w:r>
      <w:r w:rsidR="00D17498">
        <w:t xml:space="preserve">the Heritage Victoria Policy team </w:t>
      </w:r>
      <w:r>
        <w:t xml:space="preserve">at </w:t>
      </w:r>
      <w:hyperlink r:id="rId18" w:history="1">
        <w:r w:rsidR="00D17498" w:rsidRPr="00DA511E">
          <w:rPr>
            <w:rStyle w:val="Hyperlink"/>
          </w:rPr>
          <w:t>heritage.policy@delwp.vic.gov.au</w:t>
        </w:r>
      </w:hyperlink>
      <w:r>
        <w:t>.</w:t>
      </w:r>
    </w:p>
    <w:p w14:paraId="4656D81D" w14:textId="54375AA8" w:rsidR="00C81810" w:rsidRPr="00536126" w:rsidRDefault="00C81810" w:rsidP="00C81810">
      <w:r>
        <w:t>If you would like to have a pre-application discussion about a future application, please</w:t>
      </w:r>
      <w:r w:rsidR="00B7064D">
        <w:t xml:space="preserve"> lodge a ‘permit pre-application discussion request’ through the HeritageDesk portal.</w:t>
      </w:r>
    </w:p>
    <w:sectPr w:rsidR="00C81810" w:rsidRPr="00536126" w:rsidSect="00F1252A">
      <w:type w:val="continuous"/>
      <w:pgSz w:w="11906" w:h="16838" w:code="9"/>
      <w:pgMar w:top="567" w:right="567" w:bottom="567" w:left="567" w:header="1701" w:footer="39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7EA4" w14:textId="77777777" w:rsidR="00AC7AA2" w:rsidRDefault="00AC7AA2" w:rsidP="00C37A29">
      <w:pPr>
        <w:spacing w:after="0"/>
      </w:pPr>
      <w:r>
        <w:separator/>
      </w:r>
    </w:p>
  </w:endnote>
  <w:endnote w:type="continuationSeparator" w:id="0">
    <w:p w14:paraId="22FE4351" w14:textId="77777777" w:rsidR="00AC7AA2" w:rsidRDefault="00AC7AA2" w:rsidP="00C37A29">
      <w:pPr>
        <w:spacing w:after="0"/>
      </w:pPr>
      <w:r>
        <w:continuationSeparator/>
      </w:r>
    </w:p>
  </w:endnote>
  <w:endnote w:type="continuationNotice" w:id="1">
    <w:p w14:paraId="545FE291" w14:textId="77777777" w:rsidR="00AC7AA2" w:rsidRDefault="00AC7AA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C43" w14:textId="77777777" w:rsidR="003700CE" w:rsidRDefault="00370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C568" w14:textId="163C61BB" w:rsidR="000D7EE8" w:rsidRDefault="0060795E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257DF955" wp14:editId="599FCB6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2d74a0caa81c4267497f1c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504B8E" w14:textId="1A8F1D55" w:rsidR="0060795E" w:rsidRPr="003700CE" w:rsidRDefault="003700CE" w:rsidP="003700C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700C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DF955" id="_x0000_t202" coordsize="21600,21600" o:spt="202" path="m,l,21600r21600,l21600,xe">
              <v:stroke joinstyle="miter"/>
              <v:path gradientshapeok="t" o:connecttype="rect"/>
            </v:shapetype>
            <v:shape id="MSIPCM12d74a0caa81c4267497f1cb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7F504B8E" w14:textId="1A8F1D55" w:rsidR="0060795E" w:rsidRPr="003700CE" w:rsidRDefault="003700CE" w:rsidP="003700C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700C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103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BA774C8" wp14:editId="2FA1FBD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3A1E0E" w14:textId="7B7EEA32" w:rsidR="00261036" w:rsidRPr="00261036" w:rsidRDefault="00261036" w:rsidP="00261036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6103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774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33A1E0E" w14:textId="7B7EEA32" w:rsidR="00261036" w:rsidRPr="00261036" w:rsidRDefault="00261036" w:rsidP="00261036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6103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53565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47B6AA77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535659" w:themeColor="text2"/>
            <w:bottom w:val="nil"/>
            <w:right w:val="nil"/>
          </w:tcBorders>
        </w:tcPr>
        <w:p w14:paraId="139DE473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535659" w:themeColor="text2"/>
            <w:left w:val="nil"/>
            <w:bottom w:val="nil"/>
            <w:right w:val="nil"/>
          </w:tcBorders>
        </w:tcPr>
        <w:p w14:paraId="2B51D610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535659" w:themeColor="text2"/>
            <w:left w:val="nil"/>
            <w:bottom w:val="nil"/>
          </w:tcBorders>
        </w:tcPr>
        <w:p w14:paraId="7D8DE5D2" w14:textId="77777777" w:rsidR="004B7536" w:rsidRDefault="004B7536" w:rsidP="009C006B">
          <w:pPr>
            <w:pStyle w:val="Footer"/>
          </w:pPr>
        </w:p>
      </w:tc>
    </w:tr>
    <w:tr w:rsidR="004B7536" w:rsidRPr="00F459F3" w14:paraId="44C4CC70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5B676C4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48ABFF" w:themeColor="accent6" w:themeTint="99"/>
          </w:tcBorders>
          <w:tcMar>
            <w:left w:w="284" w:type="dxa"/>
            <w:right w:w="284" w:type="dxa"/>
          </w:tcMar>
        </w:tcPr>
        <w:sdt>
          <w:sdtPr>
            <w:rPr>
              <w:rStyle w:val="Bold"/>
            </w:rPr>
            <w:alias w:val="Title"/>
            <w:tag w:val=""/>
            <w:id w:val="1877500635"/>
            <w:placeholder>
              <w:docPart w:val="4C62607DAE4E4ED8BDC286EC5460862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Bold"/>
            </w:rPr>
          </w:sdtEndPr>
          <w:sdtContent>
            <w:p w14:paraId="03F70763" w14:textId="2F3C5E85" w:rsidR="004B7536" w:rsidRPr="009C006B" w:rsidRDefault="00B7049B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rStyle w:val="Bold"/>
                </w:rPr>
              </w:pPr>
              <w:r>
                <w:rPr>
                  <w:rStyle w:val="Bold"/>
                </w:rPr>
                <w:t>Changes affecting permit applicants</w:t>
              </w:r>
            </w:p>
          </w:sdtContent>
        </w:sdt>
        <w:sdt>
          <w:sdtPr>
            <w:alias w:val="Subject"/>
            <w:tag w:val=""/>
            <w:id w:val="244228787"/>
            <w:placeholder>
              <w:docPart w:val="980F71A6F8BE4BC0A37B8FDE86B3330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6E30DB3" w14:textId="20CC783D" w:rsidR="004B7536" w:rsidRDefault="00B7049B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Heritage Act Amendment Factsheet 2024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48ABFF" w:themeColor="accent6" w:themeTint="99"/>
          </w:tcBorders>
        </w:tcPr>
        <w:p w14:paraId="3F91505D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4CE3B78F" w14:textId="77777777" w:rsidR="009C006B" w:rsidRPr="0042508F" w:rsidRDefault="009C006B" w:rsidP="009C0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09C0" w14:textId="77777777" w:rsidR="003700CE" w:rsidRDefault="00370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AE42" w14:textId="77777777" w:rsidR="00AC7AA2" w:rsidRDefault="00AC7AA2" w:rsidP="00C37A29">
      <w:pPr>
        <w:spacing w:after="0"/>
      </w:pPr>
      <w:r>
        <w:separator/>
      </w:r>
    </w:p>
  </w:footnote>
  <w:footnote w:type="continuationSeparator" w:id="0">
    <w:p w14:paraId="3AD93B15" w14:textId="77777777" w:rsidR="00AC7AA2" w:rsidRDefault="00AC7AA2" w:rsidP="00C37A29">
      <w:pPr>
        <w:spacing w:after="0"/>
      </w:pPr>
      <w:r>
        <w:continuationSeparator/>
      </w:r>
    </w:p>
  </w:footnote>
  <w:footnote w:type="continuationNotice" w:id="1">
    <w:p w14:paraId="67D5DB0F" w14:textId="77777777" w:rsidR="00AC7AA2" w:rsidRDefault="00AC7AA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B474" w14:textId="77777777" w:rsidR="003700CE" w:rsidRDefault="00370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F935" w14:textId="77777777" w:rsidR="00FD0FBF" w:rsidRPr="002B78A1" w:rsidRDefault="00A0606C" w:rsidP="002B78A1">
    <w:pPr>
      <w:pStyle w:val="Header"/>
    </w:pPr>
    <w:bookmarkStart w:id="0" w:name="_Hlk128719759"/>
    <w:bookmarkStart w:id="1" w:name="_Hlk128719760"/>
    <w:bookmarkStart w:id="2" w:name="_Hlk128720388"/>
    <w:bookmarkStart w:id="3" w:name="_Hlk128720389"/>
    <w:bookmarkStart w:id="4" w:name="_Hlk128721764"/>
    <w:bookmarkStart w:id="5" w:name="_Hlk128721765"/>
    <w:bookmarkStart w:id="6" w:name="_Hlk128722722"/>
    <w:bookmarkStart w:id="7" w:name="_Hlk128722723"/>
    <w:bookmarkStart w:id="8" w:name="_Hlk128723919"/>
    <w:bookmarkStart w:id="9" w:name="_Hlk128723920"/>
    <w:r w:rsidRPr="00A0606C">
      <w:rPr>
        <w:noProof/>
      </w:rPr>
      <w:drawing>
        <wp:anchor distT="0" distB="0" distL="114300" distR="114300" simplePos="0" relativeHeight="251658240" behindDoc="1" locked="0" layoutInCell="1" allowOverlap="1" wp14:anchorId="6E054961" wp14:editId="5BDCEE98">
          <wp:simplePos x="0" y="0"/>
          <wp:positionH relativeFrom="column">
            <wp:posOffset>-360045</wp:posOffset>
          </wp:positionH>
          <wp:positionV relativeFrom="paragraph">
            <wp:posOffset>-1080135</wp:posOffset>
          </wp:positionV>
          <wp:extent cx="8130160" cy="1079292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17418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274" cy="108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8A1" w:rsidRPr="00FD0FBF">
      <w:rPr>
        <w:noProof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C55E" w14:textId="77777777" w:rsidR="003700CE" w:rsidRDefault="00370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B84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382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7AF0C66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30474A23"/>
    <w:multiLevelType w:val="multilevel"/>
    <w:tmpl w:val="50041352"/>
    <w:numStyleLink w:val="ListHeadings"/>
  </w:abstractNum>
  <w:abstractNum w:abstractNumId="19" w15:restartNumberingAfterBreak="0">
    <w:nsid w:val="321F1D0F"/>
    <w:multiLevelType w:val="multilevel"/>
    <w:tmpl w:val="7AF0C66E"/>
    <w:numStyleLink w:val="Bullets"/>
  </w:abstractNum>
  <w:abstractNum w:abstractNumId="20" w15:restartNumberingAfterBreak="0">
    <w:nsid w:val="41397427"/>
    <w:multiLevelType w:val="multilevel"/>
    <w:tmpl w:val="97DAEA0E"/>
    <w:numStyleLink w:val="Numbering"/>
  </w:abstractNum>
  <w:abstractNum w:abstractNumId="21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2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3" w15:restartNumberingAfterBreak="0">
    <w:nsid w:val="4E7F1CD0"/>
    <w:multiLevelType w:val="multilevel"/>
    <w:tmpl w:val="97DAEA0E"/>
    <w:numStyleLink w:val="Numbering"/>
  </w:abstractNum>
  <w:abstractNum w:abstractNumId="24" w15:restartNumberingAfterBreak="0">
    <w:nsid w:val="58B73D84"/>
    <w:multiLevelType w:val="multilevel"/>
    <w:tmpl w:val="50041352"/>
    <w:numStyleLink w:val="ListHeadings"/>
  </w:abstractNum>
  <w:abstractNum w:abstractNumId="25" w15:restartNumberingAfterBreak="0">
    <w:nsid w:val="596A0C8C"/>
    <w:multiLevelType w:val="multilevel"/>
    <w:tmpl w:val="97DAEA0E"/>
    <w:numStyleLink w:val="Numbering"/>
  </w:abstractNum>
  <w:abstractNum w:abstractNumId="26" w15:restartNumberingAfterBreak="0">
    <w:nsid w:val="60E1502C"/>
    <w:multiLevelType w:val="multilevel"/>
    <w:tmpl w:val="7AF0C66E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○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›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61042F77"/>
    <w:multiLevelType w:val="multilevel"/>
    <w:tmpl w:val="7AF0C66E"/>
    <w:numStyleLink w:val="Bullets"/>
  </w:abstractNum>
  <w:abstractNum w:abstractNumId="28" w15:restartNumberingAfterBreak="0">
    <w:nsid w:val="643520E2"/>
    <w:multiLevelType w:val="multilevel"/>
    <w:tmpl w:val="7AF0C66E"/>
    <w:numStyleLink w:val="Bullets"/>
  </w:abstractNum>
  <w:abstractNum w:abstractNumId="29" w15:restartNumberingAfterBreak="0">
    <w:nsid w:val="660D51AD"/>
    <w:multiLevelType w:val="multilevel"/>
    <w:tmpl w:val="97DAEA0E"/>
    <w:numStyleLink w:val="Numbering"/>
  </w:abstractNum>
  <w:abstractNum w:abstractNumId="30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6"/>
  </w:num>
  <w:num w:numId="12" w16cid:durableId="1261796759">
    <w:abstractNumId w:val="28"/>
  </w:num>
  <w:num w:numId="13" w16cid:durableId="1043405154">
    <w:abstractNumId w:val="19"/>
  </w:num>
  <w:num w:numId="14" w16cid:durableId="846598071">
    <w:abstractNumId w:val="14"/>
  </w:num>
  <w:num w:numId="15" w16cid:durableId="1311640227">
    <w:abstractNumId w:val="30"/>
  </w:num>
  <w:num w:numId="16" w16cid:durableId="881941196">
    <w:abstractNumId w:val="23"/>
  </w:num>
  <w:num w:numId="17" w16cid:durableId="533617442">
    <w:abstractNumId w:val="29"/>
  </w:num>
  <w:num w:numId="18" w16cid:durableId="250312982">
    <w:abstractNumId w:val="10"/>
  </w:num>
  <w:num w:numId="19" w16cid:durableId="385955825">
    <w:abstractNumId w:val="12"/>
  </w:num>
  <w:num w:numId="20" w16cid:durableId="1408189744">
    <w:abstractNumId w:val="20"/>
  </w:num>
  <w:num w:numId="21" w16cid:durableId="1370494809">
    <w:abstractNumId w:val="15"/>
  </w:num>
  <w:num w:numId="22" w16cid:durableId="659580476">
    <w:abstractNumId w:val="11"/>
  </w:num>
  <w:num w:numId="23" w16cid:durableId="2036539326">
    <w:abstractNumId w:val="13"/>
  </w:num>
  <w:num w:numId="24" w16cid:durableId="1303265532">
    <w:abstractNumId w:val="17"/>
  </w:num>
  <w:num w:numId="25" w16cid:durableId="1737582058">
    <w:abstractNumId w:val="25"/>
  </w:num>
  <w:num w:numId="26" w16cid:durableId="974717717">
    <w:abstractNumId w:val="24"/>
  </w:num>
  <w:num w:numId="27" w16cid:durableId="444039133">
    <w:abstractNumId w:val="16"/>
  </w:num>
  <w:num w:numId="28" w16cid:durableId="1536448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2"/>
  </w:num>
  <w:num w:numId="30" w16cid:durableId="877208382">
    <w:abstractNumId w:val="21"/>
  </w:num>
  <w:num w:numId="31" w16cid:durableId="93674957">
    <w:abstractNumId w:val="21"/>
  </w:num>
  <w:num w:numId="32" w16cid:durableId="15489497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18"/>
  </w:num>
  <w:num w:numId="35" w16cid:durableId="3522695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36"/>
    <w:rsid w:val="0000332F"/>
    <w:rsid w:val="000122D3"/>
    <w:rsid w:val="0001495B"/>
    <w:rsid w:val="00014B7A"/>
    <w:rsid w:val="00015A65"/>
    <w:rsid w:val="00027052"/>
    <w:rsid w:val="000300AF"/>
    <w:rsid w:val="00034893"/>
    <w:rsid w:val="000724AE"/>
    <w:rsid w:val="00072C25"/>
    <w:rsid w:val="0008037D"/>
    <w:rsid w:val="00085ACD"/>
    <w:rsid w:val="0009219D"/>
    <w:rsid w:val="000A0935"/>
    <w:rsid w:val="000A0DB9"/>
    <w:rsid w:val="000A4E6A"/>
    <w:rsid w:val="000B0886"/>
    <w:rsid w:val="000B36AB"/>
    <w:rsid w:val="000B497F"/>
    <w:rsid w:val="000D7EE8"/>
    <w:rsid w:val="00104087"/>
    <w:rsid w:val="00112E8F"/>
    <w:rsid w:val="00123185"/>
    <w:rsid w:val="001268BC"/>
    <w:rsid w:val="00141C61"/>
    <w:rsid w:val="00143290"/>
    <w:rsid w:val="0016463C"/>
    <w:rsid w:val="00171A11"/>
    <w:rsid w:val="0017489F"/>
    <w:rsid w:val="001949AB"/>
    <w:rsid w:val="0019794B"/>
    <w:rsid w:val="001A0D77"/>
    <w:rsid w:val="001A246B"/>
    <w:rsid w:val="001A3FF3"/>
    <w:rsid w:val="001A5586"/>
    <w:rsid w:val="001B51DF"/>
    <w:rsid w:val="001B536A"/>
    <w:rsid w:val="001B63D2"/>
    <w:rsid w:val="001C7835"/>
    <w:rsid w:val="001D1059"/>
    <w:rsid w:val="001D1D73"/>
    <w:rsid w:val="001E4C19"/>
    <w:rsid w:val="001E5AE6"/>
    <w:rsid w:val="001F00E1"/>
    <w:rsid w:val="001F13C1"/>
    <w:rsid w:val="001F2277"/>
    <w:rsid w:val="001F22C6"/>
    <w:rsid w:val="001F3564"/>
    <w:rsid w:val="001F446D"/>
    <w:rsid w:val="001F6314"/>
    <w:rsid w:val="001F6706"/>
    <w:rsid w:val="002068CA"/>
    <w:rsid w:val="00213744"/>
    <w:rsid w:val="00221AB7"/>
    <w:rsid w:val="00222259"/>
    <w:rsid w:val="0022349E"/>
    <w:rsid w:val="00225431"/>
    <w:rsid w:val="002271F8"/>
    <w:rsid w:val="002356C4"/>
    <w:rsid w:val="00242D6B"/>
    <w:rsid w:val="00244DF6"/>
    <w:rsid w:val="00246435"/>
    <w:rsid w:val="00246BCF"/>
    <w:rsid w:val="00251503"/>
    <w:rsid w:val="00261036"/>
    <w:rsid w:val="00267834"/>
    <w:rsid w:val="00267E85"/>
    <w:rsid w:val="00270834"/>
    <w:rsid w:val="002724E7"/>
    <w:rsid w:val="00275A69"/>
    <w:rsid w:val="002814E6"/>
    <w:rsid w:val="002827D3"/>
    <w:rsid w:val="00287256"/>
    <w:rsid w:val="002965C0"/>
    <w:rsid w:val="00296A75"/>
    <w:rsid w:val="002B78A1"/>
    <w:rsid w:val="002D5217"/>
    <w:rsid w:val="002E0EDA"/>
    <w:rsid w:val="002E31B4"/>
    <w:rsid w:val="002E7A9E"/>
    <w:rsid w:val="003035D7"/>
    <w:rsid w:val="00305171"/>
    <w:rsid w:val="0030530B"/>
    <w:rsid w:val="00305707"/>
    <w:rsid w:val="00314AD9"/>
    <w:rsid w:val="00317ABA"/>
    <w:rsid w:val="0034680A"/>
    <w:rsid w:val="00363FF8"/>
    <w:rsid w:val="003657EF"/>
    <w:rsid w:val="003700CE"/>
    <w:rsid w:val="00373F54"/>
    <w:rsid w:val="00374847"/>
    <w:rsid w:val="0037721D"/>
    <w:rsid w:val="0038102A"/>
    <w:rsid w:val="00386C9D"/>
    <w:rsid w:val="00392B21"/>
    <w:rsid w:val="003B2E55"/>
    <w:rsid w:val="003D23A3"/>
    <w:rsid w:val="003D3729"/>
    <w:rsid w:val="003D4DD1"/>
    <w:rsid w:val="003D5856"/>
    <w:rsid w:val="003D710F"/>
    <w:rsid w:val="003E3664"/>
    <w:rsid w:val="003E7563"/>
    <w:rsid w:val="003F0A40"/>
    <w:rsid w:val="003F0D89"/>
    <w:rsid w:val="003F1F47"/>
    <w:rsid w:val="00404E4F"/>
    <w:rsid w:val="00406B4F"/>
    <w:rsid w:val="00412CDA"/>
    <w:rsid w:val="0041673A"/>
    <w:rsid w:val="004217FD"/>
    <w:rsid w:val="0042339A"/>
    <w:rsid w:val="00424D10"/>
    <w:rsid w:val="0042508F"/>
    <w:rsid w:val="0043098B"/>
    <w:rsid w:val="00441012"/>
    <w:rsid w:val="004411F6"/>
    <w:rsid w:val="00442AFD"/>
    <w:rsid w:val="004440DA"/>
    <w:rsid w:val="004635FD"/>
    <w:rsid w:val="00467CB3"/>
    <w:rsid w:val="004722A6"/>
    <w:rsid w:val="0048210C"/>
    <w:rsid w:val="004942AB"/>
    <w:rsid w:val="004A59F9"/>
    <w:rsid w:val="004B609E"/>
    <w:rsid w:val="004B7536"/>
    <w:rsid w:val="004D0322"/>
    <w:rsid w:val="004D454B"/>
    <w:rsid w:val="004D7AC6"/>
    <w:rsid w:val="004E0833"/>
    <w:rsid w:val="004E28C6"/>
    <w:rsid w:val="004E4C1E"/>
    <w:rsid w:val="004F138F"/>
    <w:rsid w:val="004F6215"/>
    <w:rsid w:val="004F6DE6"/>
    <w:rsid w:val="00500251"/>
    <w:rsid w:val="00500C61"/>
    <w:rsid w:val="00502144"/>
    <w:rsid w:val="0050670B"/>
    <w:rsid w:val="00506ED3"/>
    <w:rsid w:val="00510D22"/>
    <w:rsid w:val="00512732"/>
    <w:rsid w:val="005134B5"/>
    <w:rsid w:val="005141E8"/>
    <w:rsid w:val="00521CF9"/>
    <w:rsid w:val="0053159D"/>
    <w:rsid w:val="005328D8"/>
    <w:rsid w:val="00534D4F"/>
    <w:rsid w:val="00536126"/>
    <w:rsid w:val="00550C99"/>
    <w:rsid w:val="00553413"/>
    <w:rsid w:val="00560EDB"/>
    <w:rsid w:val="00567963"/>
    <w:rsid w:val="00574BE1"/>
    <w:rsid w:val="00577E2E"/>
    <w:rsid w:val="00582A06"/>
    <w:rsid w:val="0058369E"/>
    <w:rsid w:val="00584CA4"/>
    <w:rsid w:val="0059147C"/>
    <w:rsid w:val="00593314"/>
    <w:rsid w:val="00594496"/>
    <w:rsid w:val="005A1BB8"/>
    <w:rsid w:val="005A3C62"/>
    <w:rsid w:val="005B1E8D"/>
    <w:rsid w:val="005B6CA1"/>
    <w:rsid w:val="005C6618"/>
    <w:rsid w:val="005D44A4"/>
    <w:rsid w:val="00602C13"/>
    <w:rsid w:val="00603FD5"/>
    <w:rsid w:val="0060795E"/>
    <w:rsid w:val="006168F9"/>
    <w:rsid w:val="00616DC8"/>
    <w:rsid w:val="0062136B"/>
    <w:rsid w:val="00623EEC"/>
    <w:rsid w:val="0063025D"/>
    <w:rsid w:val="00644B02"/>
    <w:rsid w:val="0064570B"/>
    <w:rsid w:val="0065074D"/>
    <w:rsid w:val="00652859"/>
    <w:rsid w:val="006570A2"/>
    <w:rsid w:val="006642AA"/>
    <w:rsid w:val="0067014A"/>
    <w:rsid w:val="00675964"/>
    <w:rsid w:val="0068724F"/>
    <w:rsid w:val="00693358"/>
    <w:rsid w:val="0069544D"/>
    <w:rsid w:val="006A1DEF"/>
    <w:rsid w:val="006A30CD"/>
    <w:rsid w:val="006A5952"/>
    <w:rsid w:val="006B034B"/>
    <w:rsid w:val="006C2456"/>
    <w:rsid w:val="006C4AF4"/>
    <w:rsid w:val="006D3F2F"/>
    <w:rsid w:val="006D4452"/>
    <w:rsid w:val="006E3536"/>
    <w:rsid w:val="006F5547"/>
    <w:rsid w:val="00700FF9"/>
    <w:rsid w:val="0070342B"/>
    <w:rsid w:val="007120A3"/>
    <w:rsid w:val="00714488"/>
    <w:rsid w:val="0071611B"/>
    <w:rsid w:val="007208FF"/>
    <w:rsid w:val="00724018"/>
    <w:rsid w:val="007254A7"/>
    <w:rsid w:val="00727AE0"/>
    <w:rsid w:val="00745179"/>
    <w:rsid w:val="007503DD"/>
    <w:rsid w:val="00751E78"/>
    <w:rsid w:val="00753BC8"/>
    <w:rsid w:val="00760458"/>
    <w:rsid w:val="007621CE"/>
    <w:rsid w:val="00762662"/>
    <w:rsid w:val="00765134"/>
    <w:rsid w:val="00766F70"/>
    <w:rsid w:val="00776F24"/>
    <w:rsid w:val="007772C6"/>
    <w:rsid w:val="00786493"/>
    <w:rsid w:val="00792D11"/>
    <w:rsid w:val="00792DD5"/>
    <w:rsid w:val="00794FD0"/>
    <w:rsid w:val="007A0363"/>
    <w:rsid w:val="007A2584"/>
    <w:rsid w:val="007B50AD"/>
    <w:rsid w:val="007C57D9"/>
    <w:rsid w:val="007D09C3"/>
    <w:rsid w:val="007D1633"/>
    <w:rsid w:val="007D34B3"/>
    <w:rsid w:val="007D68D6"/>
    <w:rsid w:val="007E43CE"/>
    <w:rsid w:val="007E4FE4"/>
    <w:rsid w:val="007E57ED"/>
    <w:rsid w:val="00811D67"/>
    <w:rsid w:val="0081533C"/>
    <w:rsid w:val="00815AD2"/>
    <w:rsid w:val="0082718D"/>
    <w:rsid w:val="0085439B"/>
    <w:rsid w:val="00871085"/>
    <w:rsid w:val="00872EB5"/>
    <w:rsid w:val="0089026B"/>
    <w:rsid w:val="0089106C"/>
    <w:rsid w:val="008A0F14"/>
    <w:rsid w:val="008A20AF"/>
    <w:rsid w:val="008A372A"/>
    <w:rsid w:val="008A5426"/>
    <w:rsid w:val="008A5FD6"/>
    <w:rsid w:val="008B05C3"/>
    <w:rsid w:val="008B144D"/>
    <w:rsid w:val="008B2289"/>
    <w:rsid w:val="008B4965"/>
    <w:rsid w:val="008D1ABD"/>
    <w:rsid w:val="008D383A"/>
    <w:rsid w:val="008D4080"/>
    <w:rsid w:val="008D66C0"/>
    <w:rsid w:val="008D6848"/>
    <w:rsid w:val="008F70D1"/>
    <w:rsid w:val="0090137A"/>
    <w:rsid w:val="0091171B"/>
    <w:rsid w:val="00921A72"/>
    <w:rsid w:val="00925051"/>
    <w:rsid w:val="009264A2"/>
    <w:rsid w:val="00936068"/>
    <w:rsid w:val="00936CE4"/>
    <w:rsid w:val="00937AD7"/>
    <w:rsid w:val="0094758C"/>
    <w:rsid w:val="009517CC"/>
    <w:rsid w:val="00951CF6"/>
    <w:rsid w:val="00954A9B"/>
    <w:rsid w:val="009615D4"/>
    <w:rsid w:val="00962CC1"/>
    <w:rsid w:val="00967564"/>
    <w:rsid w:val="009732E2"/>
    <w:rsid w:val="00974677"/>
    <w:rsid w:val="009827C2"/>
    <w:rsid w:val="00983109"/>
    <w:rsid w:val="00984E51"/>
    <w:rsid w:val="00993F49"/>
    <w:rsid w:val="009940AD"/>
    <w:rsid w:val="00994DD2"/>
    <w:rsid w:val="009A2F17"/>
    <w:rsid w:val="009A3BF8"/>
    <w:rsid w:val="009A46AD"/>
    <w:rsid w:val="009C006B"/>
    <w:rsid w:val="009C3818"/>
    <w:rsid w:val="009C5432"/>
    <w:rsid w:val="009D1B5E"/>
    <w:rsid w:val="009D235A"/>
    <w:rsid w:val="009D24F5"/>
    <w:rsid w:val="009D7745"/>
    <w:rsid w:val="009E2EA5"/>
    <w:rsid w:val="009F0675"/>
    <w:rsid w:val="009F077A"/>
    <w:rsid w:val="009F1343"/>
    <w:rsid w:val="009F6014"/>
    <w:rsid w:val="009F6386"/>
    <w:rsid w:val="009F6DF0"/>
    <w:rsid w:val="00A0606C"/>
    <w:rsid w:val="00A13664"/>
    <w:rsid w:val="00A173B1"/>
    <w:rsid w:val="00A20C7D"/>
    <w:rsid w:val="00A24EF4"/>
    <w:rsid w:val="00A25D66"/>
    <w:rsid w:val="00A27FD6"/>
    <w:rsid w:val="00A33747"/>
    <w:rsid w:val="00A54461"/>
    <w:rsid w:val="00A62C99"/>
    <w:rsid w:val="00A677A4"/>
    <w:rsid w:val="00A75E32"/>
    <w:rsid w:val="00A90151"/>
    <w:rsid w:val="00A9359B"/>
    <w:rsid w:val="00A9657E"/>
    <w:rsid w:val="00AA163B"/>
    <w:rsid w:val="00AB5F12"/>
    <w:rsid w:val="00AC0558"/>
    <w:rsid w:val="00AC7AA2"/>
    <w:rsid w:val="00AD665A"/>
    <w:rsid w:val="00AF188F"/>
    <w:rsid w:val="00AF1CBA"/>
    <w:rsid w:val="00AF2097"/>
    <w:rsid w:val="00AF56AD"/>
    <w:rsid w:val="00B00E14"/>
    <w:rsid w:val="00B01664"/>
    <w:rsid w:val="00B05B1C"/>
    <w:rsid w:val="00B115F2"/>
    <w:rsid w:val="00B12A9D"/>
    <w:rsid w:val="00B153EB"/>
    <w:rsid w:val="00B16509"/>
    <w:rsid w:val="00B23603"/>
    <w:rsid w:val="00B23D84"/>
    <w:rsid w:val="00B255CB"/>
    <w:rsid w:val="00B2679A"/>
    <w:rsid w:val="00B27607"/>
    <w:rsid w:val="00B30633"/>
    <w:rsid w:val="00B32D6C"/>
    <w:rsid w:val="00B3542A"/>
    <w:rsid w:val="00B3749D"/>
    <w:rsid w:val="00B40A08"/>
    <w:rsid w:val="00B65DAA"/>
    <w:rsid w:val="00B66B2F"/>
    <w:rsid w:val="00B66F5C"/>
    <w:rsid w:val="00B7049B"/>
    <w:rsid w:val="00B7064D"/>
    <w:rsid w:val="00B74F7F"/>
    <w:rsid w:val="00B75B08"/>
    <w:rsid w:val="00B77CB7"/>
    <w:rsid w:val="00B805A7"/>
    <w:rsid w:val="00B85B7E"/>
    <w:rsid w:val="00B87859"/>
    <w:rsid w:val="00B91D47"/>
    <w:rsid w:val="00B9575C"/>
    <w:rsid w:val="00B96F73"/>
    <w:rsid w:val="00B97350"/>
    <w:rsid w:val="00BA3CB8"/>
    <w:rsid w:val="00BA3D4C"/>
    <w:rsid w:val="00BA6CFA"/>
    <w:rsid w:val="00BA7623"/>
    <w:rsid w:val="00BB3109"/>
    <w:rsid w:val="00BB5CE2"/>
    <w:rsid w:val="00BB6D5B"/>
    <w:rsid w:val="00BE3C2D"/>
    <w:rsid w:val="00BE644E"/>
    <w:rsid w:val="00BE714F"/>
    <w:rsid w:val="00BF1970"/>
    <w:rsid w:val="00BF68C8"/>
    <w:rsid w:val="00C01E68"/>
    <w:rsid w:val="00C11924"/>
    <w:rsid w:val="00C1443F"/>
    <w:rsid w:val="00C2073C"/>
    <w:rsid w:val="00C320DC"/>
    <w:rsid w:val="00C326F9"/>
    <w:rsid w:val="00C37A29"/>
    <w:rsid w:val="00C41DED"/>
    <w:rsid w:val="00C5210A"/>
    <w:rsid w:val="00C55C51"/>
    <w:rsid w:val="00C65024"/>
    <w:rsid w:val="00C70EFC"/>
    <w:rsid w:val="00C7363A"/>
    <w:rsid w:val="00C81810"/>
    <w:rsid w:val="00C90284"/>
    <w:rsid w:val="00C932F3"/>
    <w:rsid w:val="00C9559E"/>
    <w:rsid w:val="00CA6331"/>
    <w:rsid w:val="00CC09F5"/>
    <w:rsid w:val="00CC39C0"/>
    <w:rsid w:val="00CD42AE"/>
    <w:rsid w:val="00CD61EB"/>
    <w:rsid w:val="00CE3F40"/>
    <w:rsid w:val="00CE426D"/>
    <w:rsid w:val="00CE5CC2"/>
    <w:rsid w:val="00CF02F0"/>
    <w:rsid w:val="00D13362"/>
    <w:rsid w:val="00D16F74"/>
    <w:rsid w:val="00D17498"/>
    <w:rsid w:val="00D27C25"/>
    <w:rsid w:val="00D372CF"/>
    <w:rsid w:val="00D3734F"/>
    <w:rsid w:val="00D567C3"/>
    <w:rsid w:val="00D60649"/>
    <w:rsid w:val="00D61E88"/>
    <w:rsid w:val="00D74466"/>
    <w:rsid w:val="00D82889"/>
    <w:rsid w:val="00D83923"/>
    <w:rsid w:val="00D876AC"/>
    <w:rsid w:val="00D9419D"/>
    <w:rsid w:val="00D96D1D"/>
    <w:rsid w:val="00DA03DB"/>
    <w:rsid w:val="00DA43CE"/>
    <w:rsid w:val="00DC303E"/>
    <w:rsid w:val="00DE3B29"/>
    <w:rsid w:val="00DE4ECA"/>
    <w:rsid w:val="00DE5AD6"/>
    <w:rsid w:val="00DF4E3E"/>
    <w:rsid w:val="00DF7239"/>
    <w:rsid w:val="00E00B16"/>
    <w:rsid w:val="00E01A92"/>
    <w:rsid w:val="00E0453D"/>
    <w:rsid w:val="00E05FA6"/>
    <w:rsid w:val="00E25051"/>
    <w:rsid w:val="00E25474"/>
    <w:rsid w:val="00E32F93"/>
    <w:rsid w:val="00E42E3C"/>
    <w:rsid w:val="00E44437"/>
    <w:rsid w:val="00E47EE0"/>
    <w:rsid w:val="00E54B2B"/>
    <w:rsid w:val="00E84492"/>
    <w:rsid w:val="00E96CAB"/>
    <w:rsid w:val="00EA1943"/>
    <w:rsid w:val="00EA4FEB"/>
    <w:rsid w:val="00EC29A2"/>
    <w:rsid w:val="00ED62B1"/>
    <w:rsid w:val="00EE6F14"/>
    <w:rsid w:val="00EF3F23"/>
    <w:rsid w:val="00EF7BF8"/>
    <w:rsid w:val="00F00EE6"/>
    <w:rsid w:val="00F1252A"/>
    <w:rsid w:val="00F13005"/>
    <w:rsid w:val="00F162D4"/>
    <w:rsid w:val="00F22F43"/>
    <w:rsid w:val="00F25171"/>
    <w:rsid w:val="00F37A15"/>
    <w:rsid w:val="00F4010B"/>
    <w:rsid w:val="00F44D72"/>
    <w:rsid w:val="00F459F3"/>
    <w:rsid w:val="00F4702C"/>
    <w:rsid w:val="00F473E7"/>
    <w:rsid w:val="00F474C4"/>
    <w:rsid w:val="00F505B8"/>
    <w:rsid w:val="00F53397"/>
    <w:rsid w:val="00F53F1D"/>
    <w:rsid w:val="00F56476"/>
    <w:rsid w:val="00F62047"/>
    <w:rsid w:val="00F634F6"/>
    <w:rsid w:val="00F64343"/>
    <w:rsid w:val="00F6465A"/>
    <w:rsid w:val="00F64F1A"/>
    <w:rsid w:val="00F75867"/>
    <w:rsid w:val="00F839EF"/>
    <w:rsid w:val="00F863F7"/>
    <w:rsid w:val="00F87B07"/>
    <w:rsid w:val="00F93598"/>
    <w:rsid w:val="00F94880"/>
    <w:rsid w:val="00F95DC6"/>
    <w:rsid w:val="00FA566C"/>
    <w:rsid w:val="00FB0581"/>
    <w:rsid w:val="00FB0D65"/>
    <w:rsid w:val="00FB4A9F"/>
    <w:rsid w:val="00FC1863"/>
    <w:rsid w:val="00FC2D8B"/>
    <w:rsid w:val="00FC4891"/>
    <w:rsid w:val="00FC7089"/>
    <w:rsid w:val="00FD0FBF"/>
    <w:rsid w:val="00FD3306"/>
    <w:rsid w:val="00FD3F60"/>
    <w:rsid w:val="00FE540F"/>
    <w:rsid w:val="00FE57D8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7AA"/>
  <w15:chartTrackingRefBased/>
  <w15:docId w15:val="{4E06868F-AA2C-4C3D-8824-F17FE59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F47"/>
    <w:pPr>
      <w:spacing w:before="12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744"/>
    <w:pPr>
      <w:keepNext/>
      <w:keepLines/>
      <w:outlineLvl w:val="0"/>
    </w:pPr>
    <w:rPr>
      <w:rFonts w:asciiTheme="majorHAnsi" w:eastAsiaTheme="majorEastAsia" w:hAnsiTheme="majorHAnsi" w:cstheme="majorBidi"/>
      <w:b/>
      <w:color w:val="0071CE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0071CE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D84"/>
    <w:rPr>
      <w:color w:val="auto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B23D84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B23D84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B23D84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13744"/>
    <w:rPr>
      <w:rFonts w:asciiTheme="majorHAnsi" w:eastAsiaTheme="majorEastAsia" w:hAnsiTheme="majorHAnsi" w:cstheme="majorBidi"/>
      <w:b/>
      <w:color w:val="0071CE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B23D84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0071CE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D84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574BE1"/>
    <w:pPr>
      <w:framePr w:w="5103" w:hSpace="11340" w:vSpace="567" w:wrap="around" w:vAnchor="page" w:hAnchor="page" w:x="1135" w:y="1475" w:anchorLock="1"/>
      <w:spacing w:before="0"/>
      <w:contextualSpacing/>
    </w:pPr>
    <w:rPr>
      <w:rFonts w:asciiTheme="majorHAnsi" w:eastAsiaTheme="majorEastAsia" w:hAnsiTheme="majorHAnsi" w:cstheme="majorBidi"/>
      <w:b/>
      <w:color w:val="0071CE" w:themeColor="accent6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BE1"/>
    <w:rPr>
      <w:rFonts w:asciiTheme="majorHAnsi" w:eastAsiaTheme="majorEastAsia" w:hAnsiTheme="majorHAnsi" w:cstheme="majorBidi"/>
      <w:b/>
      <w:color w:val="0071CE" w:themeColor="accent6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uiPriority w:val="19"/>
    <w:rsid w:val="007E43CE"/>
    <w:pPr>
      <w:pBdr>
        <w:top w:val="single" w:sz="4" w:space="4" w:color="7C878E" w:themeColor="accent4"/>
        <w:left w:val="single" w:sz="4" w:space="4" w:color="7C878E" w:themeColor="accent4"/>
        <w:bottom w:val="single" w:sz="4" w:space="4" w:color="7C878E" w:themeColor="accent4"/>
        <w:right w:val="single" w:sz="4" w:space="4" w:color="7C878E" w:themeColor="accent4"/>
      </w:pBdr>
      <w:shd w:val="clear" w:color="auto" w:fill="7C878E" w:themeFill="accent4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7E43CE"/>
    <w:rPr>
      <w:color w:val="FFFFFF" w:themeColor="background1"/>
      <w:sz w:val="20"/>
      <w:shd w:val="clear" w:color="auto" w:fill="7C878E" w:themeFill="accent4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536126"/>
    <w:rPr>
      <w:b/>
      <w:color w:val="FFFFFF" w:themeColor="background1"/>
      <w:sz w:val="20"/>
      <w:shd w:val="clear" w:color="auto" w:fill="53565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tabs>
        <w:tab w:val="num" w:pos="360"/>
      </w:tabs>
      <w:ind w:left="340" w:hanging="340"/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ind w:left="680" w:hanging="680"/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71CE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after="240"/>
    </w:pPr>
    <w:rPr>
      <w:i/>
      <w:iCs/>
      <w:color w:val="0071CE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B12A9D"/>
    <w:pPr>
      <w:framePr w:wrap="around"/>
    </w:pPr>
    <w:rPr>
      <w:b w:val="0"/>
      <w:color w:val="404040" w:themeColor="text1" w:themeTint="BF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2A9D"/>
    <w:rPr>
      <w:rFonts w:asciiTheme="majorHAnsi" w:eastAsiaTheme="majorEastAsia" w:hAnsiTheme="majorHAnsi" w:cstheme="majorBidi"/>
      <w:color w:val="404040" w:themeColor="text1" w:themeTint="BF"/>
      <w:kern w:val="28"/>
      <w:szCs w:val="56"/>
    </w:rPr>
  </w:style>
  <w:style w:type="paragraph" w:styleId="TOCHeading">
    <w:name w:val="TOC Heading"/>
    <w:basedOn w:val="Heading1"/>
    <w:next w:val="Normal"/>
    <w:uiPriority w:val="39"/>
    <w:semiHidden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563C1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53565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rsid w:val="00B77CB7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vanish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B77CB7"/>
    <w:rPr>
      <w:i/>
      <w:vanish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53565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B12A9D"/>
    <w:pPr>
      <w:spacing w:before="60"/>
    </w:pPr>
    <w:rPr>
      <w:color w:val="595959" w:themeColor="text1" w:themeTint="A6"/>
    </w:rPr>
  </w:style>
  <w:style w:type="character" w:customStyle="1" w:styleId="GreyTextChar">
    <w:name w:val="Grey Text Char"/>
    <w:basedOn w:val="DefaultParagraphFont"/>
    <w:link w:val="GreyText"/>
    <w:uiPriority w:val="1"/>
    <w:rsid w:val="00B12A9D"/>
    <w:rPr>
      <w:color w:val="595959" w:themeColor="text1" w:themeTint="A6"/>
      <w:sz w:val="20"/>
    </w:rPr>
  </w:style>
  <w:style w:type="table" w:customStyle="1" w:styleId="DTPDefaulttable">
    <w:name w:val="DTP Default table"/>
    <w:basedOn w:val="TableNormal"/>
    <w:uiPriority w:val="99"/>
    <w:rsid w:val="004B7536"/>
    <w:pPr>
      <w:spacing w:after="0" w:line="240" w:lineRule="auto"/>
    </w:pPr>
    <w:tblPr>
      <w:tblStyleRowBandSize w:val="1"/>
      <w:tblBorders>
        <w:bottom w:val="single" w:sz="8" w:space="0" w:color="48ABFF" w:themeColor="accent6" w:themeTint="99"/>
        <w:insideH w:val="single" w:sz="8" w:space="0" w:color="48ABFF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9" w:themeFill="text2"/>
      </w:tcPr>
    </w:tblStylePr>
    <w:tblStylePr w:type="lastRow">
      <w:tblPr/>
      <w:tcPr>
        <w:tcBorders>
          <w:top w:val="single" w:sz="18" w:space="0" w:color="48ABFF" w:themeColor="accent6" w:themeTint="99"/>
          <w:left w:val="nil"/>
          <w:bottom w:val="single" w:sz="8" w:space="0" w:color="48ABFF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tabs>
        <w:tab w:val="num" w:pos="851"/>
      </w:tabs>
      <w:ind w:left="1134" w:hanging="283"/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B77CB7"/>
    <w:pPr>
      <w:spacing w:before="240"/>
      <w:ind w:left="340" w:hanging="340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B77CB7"/>
    <w:pPr>
      <w:ind w:left="680" w:hanging="680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B77CB7"/>
    <w:rPr>
      <w:rFonts w:asciiTheme="majorHAnsi" w:eastAsiaTheme="majorEastAsia" w:hAnsiTheme="majorHAnsi" w:cstheme="majorBidi"/>
      <w:b/>
      <w:color w:val="0071CE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B77CB7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0071CE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paragraph" w:customStyle="1" w:styleId="Title-fixed">
    <w:name w:val="Title-fixed"/>
    <w:basedOn w:val="Title"/>
    <w:rsid w:val="002B78A1"/>
    <w:pPr>
      <w:framePr w:h="567" w:hRule="exact" w:vSpace="284" w:wrap="around" w:y="2269"/>
    </w:pPr>
    <w:rPr>
      <w:b w:val="0"/>
      <w:sz w:val="44"/>
    </w:rPr>
  </w:style>
  <w:style w:type="character" w:styleId="Strong">
    <w:name w:val="Strong"/>
    <w:basedOn w:val="DefaultParagraphFont"/>
    <w:uiPriority w:val="22"/>
    <w:qFormat/>
    <w:rsid w:val="000122D3"/>
    <w:rPr>
      <w:b/>
      <w:bCs/>
    </w:rPr>
  </w:style>
  <w:style w:type="paragraph" w:customStyle="1" w:styleId="FooterHeading">
    <w:name w:val="Footer Heading"/>
    <w:basedOn w:val="Footer"/>
    <w:link w:val="FooterHeadingChar"/>
    <w:uiPriority w:val="12"/>
    <w:rsid w:val="000122D3"/>
    <w:pPr>
      <w:spacing w:after="120"/>
    </w:pPr>
    <w:rPr>
      <w:b/>
      <w:color w:val="FFFFFF" w:themeColor="background1"/>
      <w:spacing w:val="-6"/>
      <w:sz w:val="30"/>
    </w:rPr>
  </w:style>
  <w:style w:type="character" w:customStyle="1" w:styleId="FooterHeadingChar">
    <w:name w:val="Footer Heading Char"/>
    <w:basedOn w:val="FooterChar"/>
    <w:link w:val="FooterHeading"/>
    <w:uiPriority w:val="12"/>
    <w:rsid w:val="000122D3"/>
    <w:rPr>
      <w:b/>
      <w:color w:val="FFFFFF" w:themeColor="background1"/>
      <w:spacing w:val="-6"/>
      <w:sz w:val="30"/>
    </w:rPr>
  </w:style>
  <w:style w:type="paragraph" w:customStyle="1" w:styleId="FooterContactDetails">
    <w:name w:val="Footer Contact Details"/>
    <w:basedOn w:val="FooterHeading"/>
    <w:rsid w:val="000122D3"/>
    <w:rPr>
      <w:b w:val="0"/>
      <w:spacing w:val="0"/>
      <w:sz w:val="20"/>
    </w:rPr>
  </w:style>
  <w:style w:type="paragraph" w:customStyle="1" w:styleId="FooterWebsite">
    <w:name w:val="Footer Website"/>
    <w:basedOn w:val="Normal"/>
    <w:rsid w:val="00B23D84"/>
    <w:pPr>
      <w:spacing w:before="520" w:after="0"/>
    </w:pPr>
    <w:rPr>
      <w:b/>
      <w:color w:val="00B2A9" w:themeColor="accent5"/>
      <w:sz w:val="24"/>
    </w:rPr>
  </w:style>
  <w:style w:type="paragraph" w:customStyle="1" w:styleId="Introduction">
    <w:name w:val="Introduction"/>
    <w:basedOn w:val="Normal"/>
    <w:link w:val="IntroductionChar"/>
    <w:rsid w:val="00F1252A"/>
    <w:pPr>
      <w:spacing w:before="240" w:after="240"/>
    </w:pPr>
    <w:rPr>
      <w:b/>
      <w:color w:val="0071CE" w:themeColor="accent6"/>
      <w:sz w:val="30"/>
    </w:rPr>
  </w:style>
  <w:style w:type="paragraph" w:customStyle="1" w:styleId="Introduction-small">
    <w:name w:val="Introduction-small"/>
    <w:basedOn w:val="Introduction"/>
    <w:rsid w:val="00287256"/>
    <w:rPr>
      <w:b w:val="0"/>
      <w:sz w:val="24"/>
    </w:rPr>
  </w:style>
  <w:style w:type="character" w:customStyle="1" w:styleId="IntroductionChar">
    <w:name w:val="Introduction Char"/>
    <w:basedOn w:val="DefaultParagraphFont"/>
    <w:link w:val="Introduction"/>
    <w:rsid w:val="00F1252A"/>
    <w:rPr>
      <w:b/>
      <w:color w:val="0071CE" w:themeColor="accent6"/>
      <w:sz w:val="30"/>
    </w:rPr>
  </w:style>
  <w:style w:type="table" w:customStyle="1" w:styleId="DTP-Blank">
    <w:name w:val="DTP-Blank"/>
    <w:basedOn w:val="TableNormal"/>
    <w:uiPriority w:val="99"/>
    <w:rsid w:val="00A173B1"/>
    <w:pPr>
      <w:spacing w:after="0" w:line="240" w:lineRule="auto"/>
    </w:pPr>
    <w:tblPr>
      <w:tblStyleRowBandSize w:val="1"/>
      <w:tblBorders>
        <w:bottom w:val="single" w:sz="8" w:space="0" w:color="48ABFF" w:themeColor="accent6" w:themeTint="99"/>
        <w:insideH w:val="single" w:sz="8" w:space="0" w:color="48ABFF" w:themeColor="accent6" w:themeTint="99"/>
      </w:tblBorders>
      <w:tblCellMar>
        <w:left w:w="0" w:type="dxa"/>
      </w:tblCellMar>
    </w:tblPr>
    <w:tblStylePr w:type="firstRow">
      <w:rPr>
        <w:b/>
        <w:color w:val="0071CE" w:themeColor="accent6"/>
      </w:rPr>
    </w:tblStylePr>
    <w:tblStylePr w:type="lastRow">
      <w:tblPr/>
      <w:tcPr>
        <w:tcBorders>
          <w:top w:val="single" w:sz="18" w:space="0" w:color="48ABFF" w:themeColor="accent6" w:themeTint="99"/>
          <w:left w:val="nil"/>
          <w:bottom w:val="single" w:sz="8" w:space="0" w:color="48ABFF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FooterBanner">
    <w:name w:val="Footer Banner"/>
    <w:basedOn w:val="Normal"/>
    <w:link w:val="FooterBannerChar"/>
    <w:rsid w:val="002B78A1"/>
    <w:pPr>
      <w:framePr w:wrap="around" w:vAnchor="page" w:hAnchor="page" w:yAlign="bottom" w:anchorLock="1"/>
      <w:spacing w:before="80" w:after="0"/>
    </w:pPr>
  </w:style>
  <w:style w:type="paragraph" w:customStyle="1" w:styleId="FooterLogo">
    <w:name w:val="Footer Logo"/>
    <w:basedOn w:val="FooterBanner"/>
    <w:link w:val="FooterLogoChar"/>
    <w:rsid w:val="002B78A1"/>
    <w:pPr>
      <w:framePr w:wrap="around" w:xAlign="right"/>
      <w:jc w:val="right"/>
    </w:pPr>
  </w:style>
  <w:style w:type="character" w:customStyle="1" w:styleId="FooterBannerChar">
    <w:name w:val="Footer Banner Char"/>
    <w:basedOn w:val="DefaultParagraphFont"/>
    <w:link w:val="FooterBanner"/>
    <w:rsid w:val="002B78A1"/>
    <w:rPr>
      <w:sz w:val="20"/>
    </w:rPr>
  </w:style>
  <w:style w:type="character" w:customStyle="1" w:styleId="FooterLogoChar">
    <w:name w:val="Footer Logo Char"/>
    <w:basedOn w:val="FooterBannerChar"/>
    <w:link w:val="FooterLogo"/>
    <w:rsid w:val="002B78A1"/>
    <w:rPr>
      <w:sz w:val="20"/>
    </w:rPr>
  </w:style>
  <w:style w:type="character" w:styleId="IntenseEmphasis">
    <w:name w:val="Intense Emphasis"/>
    <w:basedOn w:val="DefaultParagraphFont"/>
    <w:uiPriority w:val="21"/>
    <w:rsid w:val="00B23D8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B23D84"/>
    <w:pPr>
      <w:pBdr>
        <w:top w:val="single" w:sz="4" w:space="10" w:color="004C96" w:themeColor="accent1"/>
        <w:bottom w:val="single" w:sz="4" w:space="10" w:color="004C9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D84"/>
    <w:rPr>
      <w:i/>
      <w:iCs/>
      <w:sz w:val="20"/>
    </w:rPr>
  </w:style>
  <w:style w:type="character" w:styleId="IntenseReference">
    <w:name w:val="Intense Reference"/>
    <w:basedOn w:val="DefaultParagraphFont"/>
    <w:uiPriority w:val="32"/>
    <w:rsid w:val="00B23D84"/>
    <w:rPr>
      <w:b/>
      <w:bCs/>
      <w:smallCaps/>
      <w:color w:val="auto"/>
      <w:spacing w:val="5"/>
    </w:rPr>
  </w:style>
  <w:style w:type="paragraph" w:styleId="BlockText">
    <w:name w:val="Block Text"/>
    <w:basedOn w:val="Normal"/>
    <w:uiPriority w:val="99"/>
    <w:semiHidden/>
    <w:unhideWhenUsed/>
    <w:rsid w:val="00B23D84"/>
    <w:pPr>
      <w:pBdr>
        <w:top w:val="single" w:sz="2" w:space="10" w:color="004C96" w:themeColor="accent1"/>
        <w:left w:val="single" w:sz="2" w:space="10" w:color="004C96" w:themeColor="accent1"/>
        <w:bottom w:val="single" w:sz="2" w:space="10" w:color="004C96" w:themeColor="accent1"/>
        <w:right w:val="single" w:sz="2" w:space="10" w:color="004C96" w:themeColor="accent1"/>
      </w:pBdr>
      <w:ind w:left="1152" w:right="1152"/>
    </w:pPr>
    <w:rPr>
      <w:rFonts w:eastAsiaTheme="minorEastAsia"/>
      <w:i/>
      <w:iCs/>
    </w:rPr>
  </w:style>
  <w:style w:type="paragraph" w:customStyle="1" w:styleId="Default">
    <w:name w:val="Default"/>
    <w:rsid w:val="009D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18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3C2D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7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A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AD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37AD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heritage.policy@delwp.vic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3j\OneDrive%20-%20Department%20of%20Environment,%20Land,%20Water%20and%20Planning\Logo\Report%20and%20Fact%20Sheet\DTP0156%20Heritage%20Victoria_Factshee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67E67118F4F67BAD67CE09A14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525C-EE72-4A6C-96D4-FBF7BAAF6F51}"/>
      </w:docPartPr>
      <w:docPartBody>
        <w:p w:rsidR="00F65154" w:rsidRDefault="006E538C">
          <w:pPr>
            <w:pStyle w:val="57267E67118F4F67BAD67CE09A1449FF"/>
          </w:pPr>
          <w:r w:rsidRPr="00574BE1">
            <w:rPr>
              <w:rStyle w:val="PlaceholderText"/>
              <w:color w:val="70AD47" w:themeColor="accent6"/>
            </w:rPr>
            <w:t>[Subheading]</w:t>
          </w:r>
        </w:p>
      </w:docPartBody>
    </w:docPart>
    <w:docPart>
      <w:docPartPr>
        <w:name w:val="4C62607DAE4E4ED8BDC286EC5460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C9CB-B22C-48AD-99E6-48140398B387}"/>
      </w:docPartPr>
      <w:docPartBody>
        <w:p w:rsidR="00F65154" w:rsidRDefault="006E538C">
          <w:pPr>
            <w:pStyle w:val="4C62607DAE4E4ED8BDC286EC54608621"/>
          </w:pPr>
          <w:r w:rsidRPr="00FA566C">
            <w:t>[Factsheet Title]</w:t>
          </w:r>
        </w:p>
      </w:docPartBody>
    </w:docPart>
    <w:docPart>
      <w:docPartPr>
        <w:name w:val="980F71A6F8BE4BC0A37B8FDE86B3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4DF8-887B-43C6-B4C6-1BE3AE17F161}"/>
      </w:docPartPr>
      <w:docPartBody>
        <w:p w:rsidR="00F65154" w:rsidRDefault="006E538C">
          <w:pPr>
            <w:pStyle w:val="980F71A6F8BE4BC0A37B8FDE86B3330F"/>
          </w:pPr>
          <w:r>
            <w:t>‘Introduction’ text spans both columns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4"/>
    <w:rsid w:val="00207BC1"/>
    <w:rsid w:val="0025749C"/>
    <w:rsid w:val="002F5AEE"/>
    <w:rsid w:val="003013C6"/>
    <w:rsid w:val="00381336"/>
    <w:rsid w:val="003A7B6C"/>
    <w:rsid w:val="0051029E"/>
    <w:rsid w:val="006E538C"/>
    <w:rsid w:val="00EF79BB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57267E67118F4F67BAD67CE09A1449FF">
    <w:name w:val="57267E67118F4F67BAD67CE09A1449FF"/>
  </w:style>
  <w:style w:type="paragraph" w:customStyle="1" w:styleId="4C62607DAE4E4ED8BDC286EC54608621">
    <w:name w:val="4C62607DAE4E4ED8BDC286EC54608621"/>
  </w:style>
  <w:style w:type="paragraph" w:customStyle="1" w:styleId="980F71A6F8BE4BC0A37B8FDE86B3330F">
    <w:name w:val="980F71A6F8BE4BC0A37B8FDE86B33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V">
      <a:dk1>
        <a:srgbClr val="000000"/>
      </a:dk1>
      <a:lt1>
        <a:srgbClr val="FFFFFF"/>
      </a:lt1>
      <a:dk2>
        <a:srgbClr val="535659"/>
      </a:dk2>
      <a:lt2>
        <a:srgbClr val="E7E6E6"/>
      </a:lt2>
      <a:accent1>
        <a:srgbClr val="004C96"/>
      </a:accent1>
      <a:accent2>
        <a:srgbClr val="00A8DF"/>
      </a:accent2>
      <a:accent3>
        <a:srgbClr val="333434"/>
      </a:accent3>
      <a:accent4>
        <a:srgbClr val="7C878E"/>
      </a:accent4>
      <a:accent5>
        <a:srgbClr val="00B2A9"/>
      </a:accent5>
      <a:accent6>
        <a:srgbClr val="0071C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552ca-4ddf-4d3d-850e-181f6743a913" xsi:nil="true"/>
    <Image xmlns="23453c2d-d4f9-41d0-91a9-e82b876fe568" xsi:nil="true"/>
    <thumbnail xmlns="23453c2d-d4f9-41d0-91a9-e82b876fe568" xsi:nil="true"/>
    <Description_x002f_Details xmlns="23453c2d-d4f9-41d0-91a9-e82b876fe568" xsi:nil="true"/>
    <test xmlns="23453c2d-d4f9-41d0-91a9-e82b876fe568" xsi:nil="true"/>
    <Size xmlns="23453c2d-d4f9-41d0-91a9-e82b876fe568" xsi:nil="true"/>
    <Template_x0020_type xmlns="23453c2d-d4f9-41d0-91a9-e82b876fe568" xsi:nil="true"/>
    <lcf76f155ced4ddcb4097134ff3c332f xmlns="23453c2d-d4f9-41d0-91a9-e82b876fe5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59488C940944283A7383AACE48CAD" ma:contentTypeVersion="20" ma:contentTypeDescription="Create a new document." ma:contentTypeScope="" ma:versionID="f71466f3f9ed46b089cdfcdbec49b55f">
  <xsd:schema xmlns:xsd="http://www.w3.org/2001/XMLSchema" xmlns:xs="http://www.w3.org/2001/XMLSchema" xmlns:p="http://schemas.microsoft.com/office/2006/metadata/properties" xmlns:ns2="23453c2d-d4f9-41d0-91a9-e82b876fe568" xmlns:ns3="a5f552ca-4ddf-4d3d-850e-181f6743a913" targetNamespace="http://schemas.microsoft.com/office/2006/metadata/properties" ma:root="true" ma:fieldsID="ce734948b8b29df3e4c6449fffb75b1c" ns2:_="" ns3:_="">
    <xsd:import namespace="23453c2d-d4f9-41d0-91a9-e82b876fe568"/>
    <xsd:import namespace="a5f552ca-4ddf-4d3d-850e-181f6743a913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Templat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escription_x002f_Detail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test" minOccurs="0"/>
                <xsd:element ref="ns2:Image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3c2d-d4f9-41d0-91a9-e82b876fe568" elementFormDefault="qualified">
    <xsd:import namespace="http://schemas.microsoft.com/office/2006/documentManagement/types"/>
    <xsd:import namespace="http://schemas.microsoft.com/office/infopath/2007/PartnerControls"/>
    <xsd:element name="Size" ma:index="8" nillable="true" ma:displayName="Size" ma:format="Dropdown" ma:internalName="Size">
      <xsd:simpleType>
        <xsd:restriction base="dms:Choice">
          <xsd:enumeration value="A4"/>
          <xsd:enumeration value="A3"/>
          <xsd:enumeration value="PowerPoint wide"/>
          <xsd:enumeration value="PowerPoint standard"/>
          <xsd:enumeration value="Other"/>
        </xsd:restriction>
      </xsd:simpleType>
    </xsd:element>
    <xsd:element name="Template_x0020_type" ma:index="9" nillable="true" ma:displayName="Template type" ma:format="Dropdown" ma:internalName="Template_x0020_type">
      <xsd:simpleType>
        <xsd:restriction base="dms:Choice">
          <xsd:enumeration value="Report"/>
          <xsd:enumeration value="Banner"/>
          <xsd:enumeration value="PowerPoint"/>
          <xsd:enumeration value="Email"/>
          <xsd:enumeration value="Certificate"/>
          <xsd:enumeration value="Name Plate"/>
          <xsd:enumeration value="Brief Template"/>
          <xsd:enumeration value="Meeting Template"/>
          <xsd:enumeration value="Fact Sheet"/>
          <xsd:enumeration value="Poster"/>
          <xsd:enumeration value="HR Template"/>
          <xsd:enumeration value="Fact Sheet"/>
          <xsd:enumeration value="Branding Guide"/>
          <xsd:enumeration value="Events"/>
          <xsd:enumeration value="Administratio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_x002f_Details" ma:index="15" nillable="true" ma:displayName="Description/Details" ma:format="Dropdown" ma:internalName="Description_x002f_Details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5" nillable="true" ma:displayName="test" ma:description="test desc" ma:format="Thumbnail" ma:internalName="test">
      <xsd:simpleType>
        <xsd:restriction base="dms:Unknown"/>
      </xsd:simpleType>
    </xsd:element>
    <xsd:element name="Image" ma:index="26" nillable="true" ma:displayName="Image" ma:internalName="Image">
      <xsd:simpleType>
        <xsd:restriction base="dms:Unknown"/>
      </xsd:simpleType>
    </xsd:element>
    <xsd:element name="thumbnail" ma:index="27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552ca-4ddf-4d3d-850e-181f6743a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18fd844-2e99-4eef-be56-c0c339f0e6b2}" ma:internalName="TaxCatchAll" ma:showField="CatchAllData" ma:web="a5f552ca-4ddf-4d3d-850e-181f6743a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1932F-5845-4B2A-8DE4-48557D2D2F2B}">
  <ds:schemaRefs>
    <ds:schemaRef ds:uri="http://schemas.microsoft.com/office/2006/metadata/properties"/>
    <ds:schemaRef ds:uri="http://schemas.microsoft.com/office/infopath/2007/PartnerControls"/>
    <ds:schemaRef ds:uri="a5f552ca-4ddf-4d3d-850e-181f6743a913"/>
    <ds:schemaRef ds:uri="23453c2d-d4f9-41d0-91a9-e82b876fe568"/>
  </ds:schemaRefs>
</ds:datastoreItem>
</file>

<file path=customXml/itemProps2.xml><?xml version="1.0" encoding="utf-8"?>
<ds:datastoreItem xmlns:ds="http://schemas.openxmlformats.org/officeDocument/2006/customXml" ds:itemID="{8D957121-3AD0-4C70-9656-4A35D4FFC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53c2d-d4f9-41d0-91a9-e82b876fe568"/>
    <ds:schemaRef ds:uri="a5f552ca-4ddf-4d3d-850e-181f6743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76745A-FD01-492A-ACC8-F5F9E00CA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DTP0156 Heritage Victoria_Factsheet_Template.dotx</Template>
  <TotalTime>1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affecting permit applicants</dc:title>
  <dc:subject>Heritage Act Amendment Factsheet 2024</dc:subject>
  <dc:creator>Dan J Marsh (DELWP)</dc:creator>
  <cp:keywords/>
  <dc:description/>
  <cp:lastModifiedBy>Ryan Marsh (DEECA)</cp:lastModifiedBy>
  <cp:revision>2</cp:revision>
  <cp:lastPrinted>2022-12-29T09:55:00Z</cp:lastPrinted>
  <dcterms:created xsi:type="dcterms:W3CDTF">2024-01-31T05:30:00Z</dcterms:created>
  <dcterms:modified xsi:type="dcterms:W3CDTF">2024-01-31T05:30:00Z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0x010100D0159488C940944283A7383AACE48CAD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2024-01-31T05:30:13Z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1807ef70-b0b0-40b9-ad16-c2eec0017335</vt:lpwstr>
  </property>
  <property fmtid="{D5CDD505-2E9C-101B-9397-08002B2CF9AE}" pid="9" name="MSIP_Label_4257e2ab-f512-40e2-9c9a-c64247360765_ContentBits">
    <vt:lpwstr>2</vt:lpwstr>
  </property>
</Properties>
</file>